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C81" w:rsidRPr="00D94F32" w:rsidRDefault="00D94F32">
      <w:pPr>
        <w:pStyle w:val="a4"/>
        <w:widowControl w:val="0"/>
        <w:jc w:val="center"/>
        <w:rPr>
          <w:b/>
          <w:sz w:val="28"/>
          <w:szCs w:val="28"/>
        </w:rPr>
      </w:pPr>
      <w:r w:rsidRPr="00D94F32">
        <w:rPr>
          <w:b/>
          <w:sz w:val="28"/>
          <w:szCs w:val="28"/>
        </w:rPr>
        <w:t>Пояснительная записка</w:t>
      </w:r>
    </w:p>
    <w:p w:rsidR="00513C81" w:rsidRPr="00D94F32" w:rsidRDefault="00D94F32">
      <w:pPr>
        <w:widowControl w:val="0"/>
        <w:spacing w:after="120"/>
        <w:jc w:val="center"/>
        <w:rPr>
          <w:b/>
          <w:sz w:val="28"/>
          <w:szCs w:val="28"/>
        </w:rPr>
      </w:pPr>
      <w:r w:rsidRPr="00D94F32">
        <w:rPr>
          <w:b/>
          <w:sz w:val="28"/>
          <w:szCs w:val="28"/>
        </w:rPr>
        <w:t>к прогнозу социально-экономического развития Республики Карелия на 2026 год и на плановый период 2027 и 2028 годов</w:t>
      </w:r>
    </w:p>
    <w:p w:rsidR="00513C81" w:rsidRPr="00D94F32" w:rsidRDefault="00D94F32">
      <w:pPr>
        <w:ind w:firstLine="709"/>
        <w:jc w:val="both"/>
        <w:rPr>
          <w:rFonts w:eastAsia="Calibri"/>
          <w:sz w:val="28"/>
          <w:szCs w:val="28"/>
          <w:lang w:eastAsia="en-US"/>
        </w:rPr>
      </w:pPr>
      <w:r w:rsidRPr="00D94F32">
        <w:rPr>
          <w:sz w:val="28"/>
          <w:szCs w:val="28"/>
        </w:rPr>
        <w:t xml:space="preserve">Сценарные условия и прогноз социально-экономического развития Республики Карелия на 2026-2028 годы разработаны на основе </w:t>
      </w:r>
      <w:r w:rsidRPr="00D94F32">
        <w:rPr>
          <w:rFonts w:eastAsia="Calibri"/>
          <w:sz w:val="28"/>
          <w:szCs w:val="28"/>
          <w:lang w:eastAsia="en-US"/>
        </w:rPr>
        <w:t xml:space="preserve">сценарных условий функционирования экономики Российской Федерации </w:t>
      </w:r>
      <w:r w:rsidRPr="00D94F32">
        <w:rPr>
          <w:sz w:val="28"/>
          <w:szCs w:val="28"/>
        </w:rPr>
        <w:t>и основных параметров прогноза социально-экономического развития Росс</w:t>
      </w:r>
      <w:r w:rsidRPr="00D94F32">
        <w:rPr>
          <w:sz w:val="28"/>
          <w:szCs w:val="28"/>
        </w:rPr>
        <w:t xml:space="preserve">ийской Федерации на 2026 год и на плановый период 2027 и 2028 годов </w:t>
      </w:r>
      <w:r w:rsidRPr="00D94F32">
        <w:rPr>
          <w:rFonts w:eastAsia="Calibri"/>
          <w:sz w:val="28"/>
          <w:szCs w:val="28"/>
          <w:lang w:eastAsia="en-US"/>
        </w:rPr>
        <w:t>с учетом особенностей региональной экономики, изменения внутренних и внешних факторов, реализации программных мероприятий, а также динамики экономических процессов в 2024-2025 годах.</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В соо</w:t>
      </w:r>
      <w:r w:rsidRPr="00D94F32">
        <w:rPr>
          <w:rFonts w:eastAsia="Calibri"/>
          <w:sz w:val="28"/>
          <w:szCs w:val="28"/>
          <w:lang w:eastAsia="en-US"/>
        </w:rPr>
        <w:t>тветствии с порядком разработки прогноза, утвержденным постановлением Правительства Республики Карелия от 26 декабря 2018 года № 491-П, прогноз социально-экономического Республики Карелия разрабатывается в 2 вариантах.</w:t>
      </w:r>
    </w:p>
    <w:p w:rsidR="00513C81" w:rsidRPr="00D94F32" w:rsidRDefault="00D94F32">
      <w:pPr>
        <w:widowControl w:val="0"/>
        <w:ind w:firstLine="567"/>
        <w:jc w:val="both"/>
        <w:rPr>
          <w:sz w:val="28"/>
          <w:szCs w:val="28"/>
        </w:rPr>
      </w:pPr>
      <w:r w:rsidRPr="00D94F32">
        <w:rPr>
          <w:rFonts w:eastAsia="Calibri"/>
          <w:b/>
          <w:sz w:val="28"/>
          <w:szCs w:val="28"/>
          <w:lang w:eastAsia="en-US"/>
        </w:rPr>
        <w:t>Консервативный вариант</w:t>
      </w:r>
      <w:r w:rsidRPr="00D94F32">
        <w:rPr>
          <w:rFonts w:eastAsia="Calibri"/>
          <w:b/>
          <w:sz w:val="28"/>
          <w:szCs w:val="28"/>
          <w:lang w:eastAsia="en-US"/>
        </w:rPr>
        <w:t xml:space="preserve"> </w:t>
      </w:r>
      <w:r w:rsidRPr="00D94F32">
        <w:rPr>
          <w:sz w:val="28"/>
          <w:szCs w:val="28"/>
        </w:rPr>
        <w:t>прогноза социа</w:t>
      </w:r>
      <w:r w:rsidRPr="00D94F32">
        <w:rPr>
          <w:sz w:val="28"/>
          <w:szCs w:val="28"/>
        </w:rPr>
        <w:t xml:space="preserve">льно-экономического развития предусматривает внутренние риски, связанные с ограничением финансовых ресурсов в условиях сохраняющихся высоких ставок по кредитам, ограничениями на рынке труда, повышением </w:t>
      </w:r>
      <w:r w:rsidRPr="00D94F32">
        <w:rPr>
          <w:sz w:val="28"/>
          <w:szCs w:val="28"/>
        </w:rPr>
        <w:t>уровня инфляции.</w:t>
      </w:r>
    </w:p>
    <w:p w:rsidR="00513C81" w:rsidRPr="00D94F32" w:rsidRDefault="00D94F32">
      <w:pPr>
        <w:widowControl w:val="0"/>
        <w:ind w:firstLine="567"/>
        <w:jc w:val="both"/>
        <w:rPr>
          <w:sz w:val="28"/>
          <w:szCs w:val="28"/>
        </w:rPr>
      </w:pPr>
      <w:r w:rsidRPr="00D94F32">
        <w:rPr>
          <w:sz w:val="28"/>
          <w:szCs w:val="28"/>
        </w:rPr>
        <w:t>Внешние риски связаны с ухудшением д</w:t>
      </w:r>
      <w:r w:rsidRPr="00D94F32">
        <w:rPr>
          <w:sz w:val="28"/>
          <w:szCs w:val="28"/>
        </w:rPr>
        <w:t xml:space="preserve">инамики </w:t>
      </w:r>
      <w:r w:rsidRPr="00D94F32">
        <w:rPr>
          <w:sz w:val="28"/>
          <w:szCs w:val="28"/>
        </w:rPr>
        <w:t xml:space="preserve">мировой экономики при сохранении жёстких денежно-кредитных условий и ужесточении режима санкций, падением цен на сырьевые товары, в том числе на нефть. </w:t>
      </w:r>
    </w:p>
    <w:p w:rsidR="00513C81" w:rsidRPr="00D94F32" w:rsidRDefault="00D94F32">
      <w:pPr>
        <w:widowControl w:val="0"/>
        <w:ind w:firstLine="567"/>
        <w:jc w:val="both"/>
        <w:rPr>
          <w:sz w:val="28"/>
          <w:szCs w:val="28"/>
        </w:rPr>
      </w:pPr>
      <w:r w:rsidRPr="00D94F32">
        <w:rPr>
          <w:sz w:val="28"/>
          <w:szCs w:val="28"/>
        </w:rPr>
        <w:t xml:space="preserve">Указанные риски могут привести к </w:t>
      </w:r>
      <w:r w:rsidRPr="00D94F32">
        <w:rPr>
          <w:sz w:val="28"/>
          <w:szCs w:val="28"/>
        </w:rPr>
        <w:t>ограничению динамики инвестиционной активности, снижению дос</w:t>
      </w:r>
      <w:r w:rsidRPr="00D94F32">
        <w:rPr>
          <w:sz w:val="28"/>
          <w:szCs w:val="28"/>
        </w:rPr>
        <w:t xml:space="preserve">тупности кредитов, увеличению «теневого» сектора экономики. </w:t>
      </w:r>
    </w:p>
    <w:p w:rsidR="00513C81" w:rsidRPr="00D94F32" w:rsidRDefault="00D94F32">
      <w:pPr>
        <w:widowControl w:val="0"/>
        <w:ind w:firstLine="567"/>
        <w:jc w:val="both"/>
        <w:rPr>
          <w:sz w:val="28"/>
          <w:szCs w:val="28"/>
        </w:rPr>
      </w:pPr>
      <w:r w:rsidRPr="00D94F32">
        <w:rPr>
          <w:sz w:val="28"/>
          <w:szCs w:val="28"/>
        </w:rPr>
        <w:t>Этот сценарий предусматривает низкую инвестиционную активность и высокий уровень долговых обязательств бюджета Республики Карелия, сокращение выделяемых средств из федерального бюджета, в том чис</w:t>
      </w:r>
      <w:r w:rsidRPr="00D94F32">
        <w:rPr>
          <w:sz w:val="28"/>
          <w:szCs w:val="28"/>
        </w:rPr>
        <w:t>ле на мероприятия, предусмотренные в государственных программах, а также частичное финансирование, планируемое на реализацию Федеральной целевой программы «Развитие Республики Карелия на период до 2030 года». Соответственно снизятся возможности на оказание</w:t>
      </w:r>
      <w:r w:rsidRPr="00D94F32">
        <w:rPr>
          <w:sz w:val="28"/>
          <w:szCs w:val="28"/>
        </w:rPr>
        <w:t xml:space="preserve"> мер поддержки субъектам предпринимательства, в том числе </w:t>
      </w:r>
      <w:r w:rsidRPr="00D94F32">
        <w:rPr>
          <w:sz w:val="28"/>
          <w:szCs w:val="28"/>
        </w:rPr>
        <w:t xml:space="preserve">малого и </w:t>
      </w:r>
      <w:r w:rsidRPr="00D94F32">
        <w:rPr>
          <w:sz w:val="28"/>
          <w:szCs w:val="28"/>
        </w:rPr>
        <w:t>среднего бизнеса, а также инвесторам.</w:t>
      </w:r>
    </w:p>
    <w:p w:rsidR="00513C81" w:rsidRPr="00D94F32" w:rsidRDefault="00D94F32">
      <w:pPr>
        <w:widowControl w:val="0"/>
        <w:ind w:firstLine="567"/>
        <w:jc w:val="both"/>
        <w:rPr>
          <w:sz w:val="28"/>
          <w:szCs w:val="28"/>
        </w:rPr>
      </w:pPr>
      <w:r w:rsidRPr="00D94F32">
        <w:rPr>
          <w:rFonts w:eastAsia="Calibri"/>
          <w:b/>
          <w:sz w:val="28"/>
          <w:szCs w:val="28"/>
          <w:lang w:eastAsia="en-US"/>
        </w:rPr>
        <w:t>Базовый вариант</w:t>
      </w:r>
      <w:r w:rsidRPr="00D94F32">
        <w:rPr>
          <w:rFonts w:ascii="Calibri" w:eastAsia="Calibri" w:hAnsi="Calibri"/>
          <w:b/>
          <w:sz w:val="28"/>
          <w:szCs w:val="28"/>
          <w:lang w:eastAsia="en-US"/>
        </w:rPr>
        <w:t xml:space="preserve"> </w:t>
      </w:r>
      <w:r w:rsidRPr="00D94F32">
        <w:rPr>
          <w:sz w:val="28"/>
          <w:szCs w:val="28"/>
        </w:rPr>
        <w:t xml:space="preserve">прогноза исходит из сохранения </w:t>
      </w:r>
      <w:r w:rsidRPr="00D94F32">
        <w:rPr>
          <w:sz w:val="28"/>
          <w:szCs w:val="28"/>
        </w:rPr>
        <w:t xml:space="preserve">умеренного потребительского и инвестиционного спроса как </w:t>
      </w:r>
      <w:r w:rsidRPr="00D94F32">
        <w:rPr>
          <w:sz w:val="28"/>
          <w:szCs w:val="28"/>
        </w:rPr>
        <w:t>основного фактора дальнейшего роста экономи</w:t>
      </w:r>
      <w:r w:rsidRPr="00D94F32">
        <w:rPr>
          <w:sz w:val="28"/>
          <w:szCs w:val="28"/>
        </w:rPr>
        <w:t>ки.</w:t>
      </w:r>
    </w:p>
    <w:p w:rsidR="00513C81" w:rsidRPr="00D94F32" w:rsidRDefault="00D94F32">
      <w:pPr>
        <w:widowControl w:val="0"/>
        <w:ind w:firstLine="567"/>
        <w:jc w:val="both"/>
        <w:rPr>
          <w:sz w:val="28"/>
          <w:szCs w:val="28"/>
        </w:rPr>
      </w:pPr>
      <w:r w:rsidRPr="00D94F32">
        <w:rPr>
          <w:sz w:val="28"/>
          <w:szCs w:val="28"/>
        </w:rPr>
        <w:t xml:space="preserve">Потребительская активность будет поддерживаться </w:t>
      </w:r>
      <w:r w:rsidRPr="00D94F32">
        <w:rPr>
          <w:sz w:val="28"/>
          <w:szCs w:val="28"/>
        </w:rPr>
        <w:t>ростом доходов населения, прежде всего за счёт</w:t>
      </w:r>
      <w:r w:rsidRPr="00D94F32">
        <w:rPr>
          <w:sz w:val="28"/>
          <w:szCs w:val="28"/>
        </w:rPr>
        <w:t xml:space="preserve"> повышения </w:t>
      </w:r>
      <w:r w:rsidRPr="00D94F32">
        <w:rPr>
          <w:sz w:val="28"/>
          <w:szCs w:val="28"/>
        </w:rPr>
        <w:t>заработные платы. Существенное влияние также окажут комплексные меры социальной защиты</w:t>
      </w:r>
      <w:r w:rsidRPr="00D94F32">
        <w:rPr>
          <w:sz w:val="28"/>
          <w:szCs w:val="28"/>
        </w:rPr>
        <w:t xml:space="preserve"> населения. </w:t>
      </w:r>
    </w:p>
    <w:p w:rsidR="00513C81" w:rsidRPr="00D94F32" w:rsidRDefault="00D94F32">
      <w:pPr>
        <w:widowControl w:val="0"/>
        <w:ind w:firstLine="567"/>
        <w:jc w:val="both"/>
        <w:rPr>
          <w:sz w:val="28"/>
          <w:szCs w:val="28"/>
        </w:rPr>
      </w:pPr>
      <w:r w:rsidRPr="00D94F32">
        <w:rPr>
          <w:sz w:val="28"/>
          <w:szCs w:val="28"/>
        </w:rPr>
        <w:t>Поддержка инвестиционной активности регионов</w:t>
      </w:r>
      <w:r w:rsidRPr="00D94F32">
        <w:rPr>
          <w:sz w:val="28"/>
          <w:szCs w:val="28"/>
        </w:rPr>
        <w:t xml:space="preserve"> со стороны федерального центра предусматривается через оказание инфраструктурной поддержки инвесторам с применением механизмов привлечения федерального финансирования (на подведение инфраструктуры к новым инвестиционным проектам через реструктуризацию рег</w:t>
      </w:r>
      <w:r w:rsidRPr="00D94F32">
        <w:rPr>
          <w:sz w:val="28"/>
          <w:szCs w:val="28"/>
        </w:rPr>
        <w:t xml:space="preserve">ионального государственного долга), использование механизма защиты инвестиций – соглашений о защите и поощрении капиталовложений, заключения специальных инвестиционных </w:t>
      </w:r>
      <w:r w:rsidRPr="00D94F32">
        <w:rPr>
          <w:sz w:val="28"/>
          <w:szCs w:val="28"/>
        </w:rPr>
        <w:lastRenderedPageBreak/>
        <w:t xml:space="preserve">контрактов, соглашений по приоритетным инвестиционным проектам в целях развития лесного </w:t>
      </w:r>
      <w:r w:rsidRPr="00D94F32">
        <w:rPr>
          <w:sz w:val="28"/>
          <w:szCs w:val="28"/>
        </w:rPr>
        <w:t>комплекса.</w:t>
      </w:r>
    </w:p>
    <w:p w:rsidR="00513C81" w:rsidRPr="00D94F32" w:rsidRDefault="00D94F32">
      <w:pPr>
        <w:widowControl w:val="0"/>
        <w:ind w:firstLine="567"/>
        <w:jc w:val="both"/>
        <w:rPr>
          <w:sz w:val="28"/>
          <w:szCs w:val="28"/>
        </w:rPr>
      </w:pPr>
      <w:r w:rsidRPr="00D94F32">
        <w:rPr>
          <w:sz w:val="28"/>
          <w:szCs w:val="28"/>
        </w:rPr>
        <w:t>Со стороны региона оказание мер поддержки инвесторам предполагается через региональные институты развития за счёт таких механизмов как развитие созданных зон с преференциальными режимами,  создание и развитие промышленных технопарков, заключение</w:t>
      </w:r>
      <w:r w:rsidRPr="00D94F32">
        <w:rPr>
          <w:sz w:val="28"/>
          <w:szCs w:val="28"/>
        </w:rPr>
        <w:t xml:space="preserve"> офсетных контрактов; предоставление инвесторам налоговых льгот по региональным налогам, а также льготных условий пользования землёй и иным недвижимым имуществом, предоставление субсидий из бюджета Республики Карелия на частичное возмещение затрат, связанн</w:t>
      </w:r>
      <w:r w:rsidRPr="00D94F32">
        <w:rPr>
          <w:sz w:val="28"/>
          <w:szCs w:val="28"/>
        </w:rPr>
        <w:t>ых с реализацией инвестиционного проекта, и др.</w:t>
      </w:r>
    </w:p>
    <w:p w:rsidR="00513C81" w:rsidRPr="00D94F32" w:rsidRDefault="00D94F32">
      <w:pPr>
        <w:widowControl w:val="0"/>
        <w:ind w:firstLine="567"/>
        <w:jc w:val="both"/>
        <w:rPr>
          <w:sz w:val="28"/>
          <w:szCs w:val="28"/>
        </w:rPr>
      </w:pPr>
      <w:r w:rsidRPr="00D94F32">
        <w:rPr>
          <w:sz w:val="28"/>
          <w:szCs w:val="28"/>
        </w:rPr>
        <w:t xml:space="preserve">Восстановление экспорта предусматривается </w:t>
      </w:r>
      <w:r w:rsidRPr="00D94F32">
        <w:rPr>
          <w:sz w:val="28"/>
          <w:szCs w:val="28"/>
        </w:rPr>
        <w:t xml:space="preserve">за счёт развития новых логистических и производственных цепочек с дружественными и нейтральными странами. </w:t>
      </w:r>
    </w:p>
    <w:p w:rsidR="00513C81" w:rsidRPr="00D94F32" w:rsidRDefault="00D94F32">
      <w:pPr>
        <w:widowControl w:val="0"/>
        <w:ind w:firstLine="567"/>
        <w:jc w:val="both"/>
        <w:rPr>
          <w:sz w:val="28"/>
          <w:szCs w:val="28"/>
        </w:rPr>
      </w:pPr>
      <w:r w:rsidRPr="00D94F32">
        <w:rPr>
          <w:sz w:val="28"/>
          <w:szCs w:val="28"/>
        </w:rPr>
        <w:t xml:space="preserve">Предполагается снижение инфляции с выходом </w:t>
      </w:r>
      <w:r w:rsidRPr="00D94F32">
        <w:rPr>
          <w:sz w:val="28"/>
          <w:szCs w:val="28"/>
        </w:rPr>
        <w:t>на целевой уро</w:t>
      </w:r>
      <w:r w:rsidRPr="00D94F32">
        <w:rPr>
          <w:sz w:val="28"/>
          <w:szCs w:val="28"/>
        </w:rPr>
        <w:t>вень Банка России 4% в 2026 году и сохранением на этом уровне до конца прогнозируемого периода.</w:t>
      </w:r>
    </w:p>
    <w:p w:rsidR="00513C81" w:rsidRPr="00D94F32" w:rsidRDefault="00D94F32">
      <w:pPr>
        <w:widowControl w:val="0"/>
        <w:ind w:firstLine="567"/>
        <w:jc w:val="both"/>
        <w:rPr>
          <w:sz w:val="28"/>
          <w:szCs w:val="28"/>
        </w:rPr>
      </w:pPr>
      <w:r w:rsidRPr="00D94F32">
        <w:rPr>
          <w:sz w:val="28"/>
          <w:szCs w:val="28"/>
        </w:rPr>
        <w:t>На рынке труда сохранится</w:t>
      </w:r>
      <w:r w:rsidRPr="00D94F32">
        <w:rPr>
          <w:sz w:val="28"/>
          <w:szCs w:val="28"/>
        </w:rPr>
        <w:t xml:space="preserve"> рост спроса на рабочую силу при снижении уровня безработицы.</w:t>
      </w:r>
    </w:p>
    <w:p w:rsidR="00513C81" w:rsidRPr="00D94F32" w:rsidRDefault="00D94F32">
      <w:pPr>
        <w:widowControl w:val="0"/>
        <w:ind w:firstLine="567"/>
        <w:jc w:val="both"/>
        <w:rPr>
          <w:sz w:val="28"/>
          <w:szCs w:val="28"/>
        </w:rPr>
      </w:pPr>
      <w:r w:rsidRPr="00D94F32">
        <w:rPr>
          <w:sz w:val="28"/>
          <w:szCs w:val="28"/>
        </w:rPr>
        <w:t>В этом сценарии предусматривается оказание мер поддержки субъектам предп</w:t>
      </w:r>
      <w:r w:rsidRPr="00D94F32">
        <w:rPr>
          <w:sz w:val="28"/>
          <w:szCs w:val="28"/>
        </w:rPr>
        <w:t xml:space="preserve">ринимательства, в том числе </w:t>
      </w:r>
      <w:r w:rsidRPr="00D94F32">
        <w:rPr>
          <w:sz w:val="28"/>
          <w:szCs w:val="28"/>
        </w:rPr>
        <w:t xml:space="preserve">малого и </w:t>
      </w:r>
      <w:r w:rsidRPr="00D94F32">
        <w:rPr>
          <w:sz w:val="28"/>
          <w:szCs w:val="28"/>
        </w:rPr>
        <w:t xml:space="preserve">среднего бизнеса. </w:t>
      </w:r>
    </w:p>
    <w:p w:rsidR="00513C81" w:rsidRPr="00D94F32" w:rsidRDefault="00D94F32">
      <w:pPr>
        <w:widowControl w:val="0"/>
        <w:ind w:firstLine="567"/>
        <w:jc w:val="both"/>
        <w:rPr>
          <w:sz w:val="28"/>
          <w:szCs w:val="28"/>
        </w:rPr>
      </w:pPr>
      <w:r w:rsidRPr="00D94F32">
        <w:rPr>
          <w:sz w:val="28"/>
          <w:szCs w:val="28"/>
        </w:rPr>
        <w:t>Достижение основных параметров государственных программ Республики Карелия предполагается исходя из сложившихся тенденций поступления бюджетных доходов и необходимого уровня федерального финансирова</w:t>
      </w:r>
      <w:r w:rsidRPr="00D94F32">
        <w:rPr>
          <w:sz w:val="28"/>
          <w:szCs w:val="28"/>
        </w:rPr>
        <w:t xml:space="preserve">ния, реализации Федеральной целевой программы «Развитие Республики Карелия на период до 2030 года». Кроме этого </w:t>
      </w:r>
      <w:r w:rsidRPr="00D94F32">
        <w:rPr>
          <w:sz w:val="28"/>
          <w:szCs w:val="28"/>
        </w:rPr>
        <w:t>предполагается освоение средств, предусмотренных региону на реализацию региональных составляющих национальных проектов.</w:t>
      </w:r>
    </w:p>
    <w:p w:rsidR="00513C81" w:rsidRPr="00D94F32" w:rsidRDefault="00513C81">
      <w:pPr>
        <w:widowControl w:val="0"/>
        <w:ind w:right="-1" w:firstLine="709"/>
        <w:jc w:val="both"/>
        <w:rPr>
          <w:color w:val="1A1A1A"/>
          <w:sz w:val="28"/>
          <w:szCs w:val="28"/>
        </w:rPr>
      </w:pPr>
    </w:p>
    <w:p w:rsidR="00513C81" w:rsidRPr="00D94F32" w:rsidRDefault="00D94F32">
      <w:pPr>
        <w:ind w:firstLine="709"/>
        <w:jc w:val="both"/>
        <w:rPr>
          <w:b/>
          <w:sz w:val="28"/>
          <w:szCs w:val="28"/>
        </w:rPr>
      </w:pPr>
      <w:r w:rsidRPr="00D94F32">
        <w:rPr>
          <w:b/>
          <w:sz w:val="28"/>
          <w:szCs w:val="28"/>
        </w:rPr>
        <w:t>Риски прогноза связаны</w:t>
      </w:r>
      <w:r w:rsidRPr="00D94F32">
        <w:rPr>
          <w:b/>
          <w:sz w:val="28"/>
          <w:szCs w:val="28"/>
        </w:rPr>
        <w:t xml:space="preserve"> с:</w:t>
      </w:r>
    </w:p>
    <w:p w:rsidR="00513C81" w:rsidRPr="00D94F32" w:rsidRDefault="00D94F32">
      <w:pPr>
        <w:widowControl w:val="0"/>
        <w:ind w:firstLine="709"/>
        <w:jc w:val="both"/>
        <w:rPr>
          <w:sz w:val="28"/>
          <w:szCs w:val="28"/>
        </w:rPr>
      </w:pPr>
      <w:r w:rsidRPr="00D94F32">
        <w:rPr>
          <w:sz w:val="28"/>
          <w:szCs w:val="28"/>
        </w:rPr>
        <w:t>- введением новых пакетов санкций,</w:t>
      </w:r>
    </w:p>
    <w:p w:rsidR="00513C81" w:rsidRPr="00D94F32" w:rsidRDefault="00D94F32">
      <w:pPr>
        <w:widowControl w:val="0"/>
        <w:ind w:firstLine="709"/>
        <w:jc w:val="both"/>
        <w:rPr>
          <w:sz w:val="28"/>
          <w:szCs w:val="28"/>
        </w:rPr>
      </w:pPr>
      <w:r w:rsidRPr="00D94F32">
        <w:rPr>
          <w:sz w:val="28"/>
          <w:szCs w:val="28"/>
        </w:rPr>
        <w:t>- неблагоприятной внешнеэкономической конъюнктурой в условиях ужесточения санкционных ограничений и неустойчивости развития мировой экономики,</w:t>
      </w:r>
    </w:p>
    <w:p w:rsidR="00513C81" w:rsidRPr="00D94F32" w:rsidRDefault="00D94F32">
      <w:pPr>
        <w:widowControl w:val="0"/>
        <w:ind w:firstLine="709"/>
        <w:jc w:val="both"/>
        <w:rPr>
          <w:sz w:val="28"/>
          <w:szCs w:val="28"/>
        </w:rPr>
      </w:pPr>
      <w:r w:rsidRPr="00D94F32">
        <w:rPr>
          <w:sz w:val="28"/>
          <w:szCs w:val="28"/>
        </w:rPr>
        <w:t xml:space="preserve">- низкой доступностью кредитов, </w:t>
      </w:r>
    </w:p>
    <w:p w:rsidR="00513C81" w:rsidRPr="00D94F32" w:rsidRDefault="00D94F32">
      <w:pPr>
        <w:widowControl w:val="0"/>
        <w:ind w:firstLine="709"/>
        <w:jc w:val="both"/>
        <w:rPr>
          <w:sz w:val="28"/>
          <w:szCs w:val="28"/>
        </w:rPr>
      </w:pPr>
      <w:r w:rsidRPr="00D94F32">
        <w:rPr>
          <w:sz w:val="28"/>
          <w:szCs w:val="28"/>
        </w:rPr>
        <w:t>- ограничением финансовых операций,</w:t>
      </w:r>
    </w:p>
    <w:p w:rsidR="00513C81" w:rsidRPr="00D94F32" w:rsidRDefault="00D94F32">
      <w:pPr>
        <w:widowControl w:val="0"/>
        <w:ind w:firstLine="709"/>
        <w:jc w:val="both"/>
        <w:rPr>
          <w:sz w:val="28"/>
          <w:szCs w:val="28"/>
        </w:rPr>
      </w:pPr>
      <w:r w:rsidRPr="00D94F32">
        <w:rPr>
          <w:sz w:val="28"/>
          <w:szCs w:val="28"/>
        </w:rPr>
        <w:t>- снижением инвестиционной активности,</w:t>
      </w:r>
    </w:p>
    <w:p w:rsidR="00513C81" w:rsidRPr="00D94F32" w:rsidRDefault="00D94F32">
      <w:pPr>
        <w:widowControl w:val="0"/>
        <w:ind w:firstLine="709"/>
        <w:jc w:val="both"/>
        <w:rPr>
          <w:sz w:val="28"/>
          <w:szCs w:val="28"/>
        </w:rPr>
      </w:pPr>
      <w:r w:rsidRPr="00D94F32">
        <w:rPr>
          <w:sz w:val="28"/>
          <w:szCs w:val="28"/>
        </w:rPr>
        <w:t>-сокращением объемов финансирования мероприятий программ, реализуемых за счет средств федерального бюджета.</w:t>
      </w:r>
    </w:p>
    <w:p w:rsidR="00513C81" w:rsidRPr="00D94F32" w:rsidRDefault="00D94F32">
      <w:pPr>
        <w:widowControl w:val="0"/>
        <w:ind w:firstLine="709"/>
        <w:jc w:val="both"/>
        <w:rPr>
          <w:sz w:val="28"/>
          <w:szCs w:val="28"/>
        </w:rPr>
      </w:pPr>
      <w:r w:rsidRPr="00D94F32">
        <w:rPr>
          <w:sz w:val="28"/>
          <w:szCs w:val="28"/>
        </w:rPr>
        <w:t>В качестве основы для составления проекта бюджета Республики Карелия на 2026 год и плановый период 2027 и 202</w:t>
      </w:r>
      <w:r w:rsidRPr="00D94F32">
        <w:rPr>
          <w:sz w:val="28"/>
          <w:szCs w:val="28"/>
        </w:rPr>
        <w:t>8 годов предлагается базовый вариант.</w:t>
      </w:r>
    </w:p>
    <w:p w:rsidR="00513C81" w:rsidRPr="00D94F32" w:rsidRDefault="00513C81">
      <w:pPr>
        <w:widowControl w:val="0"/>
        <w:ind w:right="-1" w:firstLine="709"/>
        <w:jc w:val="both"/>
        <w:rPr>
          <w:color w:val="1A1A1A"/>
          <w:sz w:val="28"/>
          <w:szCs w:val="28"/>
        </w:rPr>
      </w:pPr>
    </w:p>
    <w:p w:rsidR="00513C81" w:rsidRPr="00D94F32" w:rsidRDefault="00D94F32">
      <w:pPr>
        <w:widowControl w:val="0"/>
        <w:spacing w:before="120" w:after="120"/>
        <w:jc w:val="center"/>
        <w:rPr>
          <w:b/>
          <w:bCs/>
          <w:sz w:val="28"/>
          <w:szCs w:val="28"/>
        </w:rPr>
      </w:pPr>
      <w:r w:rsidRPr="00D94F32">
        <w:rPr>
          <w:b/>
          <w:bCs/>
          <w:sz w:val="28"/>
          <w:szCs w:val="28"/>
        </w:rPr>
        <w:t>Общая оценка социально-экономической ситуации в регионе за 2024 год</w:t>
      </w:r>
    </w:p>
    <w:p w:rsidR="00513C81" w:rsidRPr="00D94F32" w:rsidRDefault="00D94F32">
      <w:pPr>
        <w:widowControl w:val="0"/>
        <w:ind w:firstLine="709"/>
        <w:jc w:val="both"/>
        <w:rPr>
          <w:sz w:val="28"/>
          <w:szCs w:val="28"/>
        </w:rPr>
      </w:pPr>
      <w:r w:rsidRPr="00D94F32">
        <w:rPr>
          <w:sz w:val="28"/>
          <w:szCs w:val="28"/>
        </w:rPr>
        <w:t xml:space="preserve">В условиях санкционных ограничений предприятия различных отраслей экономики по разному адаптируются к изменению внешних факторов, </w:t>
      </w:r>
      <w:r w:rsidRPr="00D94F32">
        <w:rPr>
          <w:sz w:val="28"/>
          <w:szCs w:val="28"/>
        </w:rPr>
        <w:lastRenderedPageBreak/>
        <w:t>влияющих на</w:t>
      </w:r>
      <w:r w:rsidRPr="00D94F32">
        <w:rPr>
          <w:sz w:val="28"/>
          <w:szCs w:val="28"/>
        </w:rPr>
        <w:t xml:space="preserve"> ведени</w:t>
      </w:r>
      <w:r w:rsidRPr="00D94F32">
        <w:rPr>
          <w:sz w:val="28"/>
          <w:szCs w:val="28"/>
        </w:rPr>
        <w:t xml:space="preserve">е хозяйственной деятельности. </w:t>
      </w:r>
    </w:p>
    <w:p w:rsidR="00513C81" w:rsidRPr="00D94F32" w:rsidRDefault="00D94F32">
      <w:pPr>
        <w:widowControl w:val="0"/>
        <w:ind w:firstLine="709"/>
        <w:jc w:val="both"/>
        <w:rPr>
          <w:sz w:val="28"/>
          <w:szCs w:val="28"/>
        </w:rPr>
      </w:pPr>
      <w:r w:rsidRPr="00D94F32">
        <w:rPr>
          <w:sz w:val="28"/>
          <w:szCs w:val="28"/>
        </w:rPr>
        <w:t xml:space="preserve">При общем увеличении оборота организаций по всем видам экономической деятельности в 2024 году на 9,3% по сравнению с 2023 годом, </w:t>
      </w:r>
      <w:r w:rsidRPr="00D94F32">
        <w:rPr>
          <w:sz w:val="28"/>
          <w:szCs w:val="28"/>
        </w:rPr>
        <w:t xml:space="preserve">оборот организаций в добыче полезных ископаемых вырос на 24%,  в обрабатывающих производствах, </w:t>
      </w:r>
      <w:r w:rsidRPr="00D94F32">
        <w:rPr>
          <w:sz w:val="28"/>
          <w:szCs w:val="28"/>
        </w:rPr>
        <w:t xml:space="preserve">а также сельском, лесном хозяйстве, охоте, рыболовстве и рыбоводстве – на 10,2%, в обеспечении электрической энергией, паром и газом; кондиционировании воздуха – на 5,7%. В то же время темп роста данного показателя </w:t>
      </w:r>
      <w:r w:rsidRPr="00D94F32">
        <w:rPr>
          <w:sz w:val="28"/>
          <w:szCs w:val="28"/>
        </w:rPr>
        <w:t>в водоснабжении, водоотведении, организа</w:t>
      </w:r>
      <w:r w:rsidRPr="00D94F32">
        <w:rPr>
          <w:sz w:val="28"/>
          <w:szCs w:val="28"/>
        </w:rPr>
        <w:t xml:space="preserve">ции сбора и утилизации отходов составил </w:t>
      </w:r>
      <w:r w:rsidRPr="00D94F32">
        <w:rPr>
          <w:sz w:val="28"/>
          <w:szCs w:val="28"/>
        </w:rPr>
        <w:t xml:space="preserve">88,1% к уровню 2023 года, в строительстве -99,1%. </w:t>
      </w:r>
    </w:p>
    <w:p w:rsidR="00513C81" w:rsidRPr="00D94F32" w:rsidRDefault="00D94F32">
      <w:pPr>
        <w:widowControl w:val="0"/>
        <w:ind w:firstLine="709"/>
        <w:jc w:val="both"/>
        <w:rPr>
          <w:sz w:val="28"/>
          <w:szCs w:val="28"/>
        </w:rPr>
      </w:pPr>
      <w:r w:rsidRPr="00D94F32">
        <w:rPr>
          <w:sz w:val="28"/>
          <w:szCs w:val="28"/>
        </w:rPr>
        <w:t>Высокие темпы роста отмечаются в тех видах деятельности обрабатывающих производств, где предприятия нашли свои ниши по замене импортной продукции. Так, оборот орган</w:t>
      </w:r>
      <w:r w:rsidRPr="00D94F32">
        <w:rPr>
          <w:sz w:val="28"/>
          <w:szCs w:val="28"/>
        </w:rPr>
        <w:t xml:space="preserve">изаций, выпускающих готовые металлические изделия, в прошлом году увеличился на 35,9%,  неметаллическую минеральную продукцию - на 32,5%, электрическое оборудование – на 44,8%, машины и оборудование - на 24%, , одежду - в 2,6 раза.  </w:t>
      </w:r>
    </w:p>
    <w:p w:rsidR="00513C81" w:rsidRPr="00D94F32" w:rsidRDefault="00D94F32">
      <w:pPr>
        <w:widowControl w:val="0"/>
        <w:ind w:firstLine="709"/>
        <w:jc w:val="both"/>
        <w:rPr>
          <w:sz w:val="28"/>
          <w:szCs w:val="28"/>
        </w:rPr>
      </w:pPr>
      <w:r w:rsidRPr="00D94F32">
        <w:rPr>
          <w:sz w:val="28"/>
          <w:szCs w:val="28"/>
        </w:rPr>
        <w:t>Позитивная динамика сохраняется в торговле, транспорте, деятельности гостиниц и предприятий общественного питания, в области информации и связи.</w:t>
      </w:r>
    </w:p>
    <w:p w:rsidR="00513C81" w:rsidRPr="00D94F32" w:rsidRDefault="00D94F32">
      <w:pPr>
        <w:widowControl w:val="0"/>
        <w:ind w:firstLine="709"/>
        <w:jc w:val="both"/>
        <w:rPr>
          <w:sz w:val="28"/>
          <w:szCs w:val="28"/>
        </w:rPr>
      </w:pPr>
      <w:r w:rsidRPr="00D94F32">
        <w:rPr>
          <w:sz w:val="28"/>
          <w:szCs w:val="28"/>
        </w:rPr>
        <w:t xml:space="preserve">Несмотря на влияние негативных факторов в 2024 году инвестиции в основной капитал по полному кругу организаций </w:t>
      </w:r>
      <w:r w:rsidRPr="00D94F32">
        <w:rPr>
          <w:sz w:val="28"/>
          <w:szCs w:val="28"/>
        </w:rPr>
        <w:t>составили рекордные для республики 103,6 млрд. рублей, что на 3,4 млрд. рублей выше показателя 2023 года.</w:t>
      </w:r>
    </w:p>
    <w:p w:rsidR="00513C81" w:rsidRPr="00D94F32" w:rsidRDefault="00D94F32">
      <w:pPr>
        <w:widowControl w:val="0"/>
        <w:ind w:firstLine="709"/>
        <w:jc w:val="both"/>
        <w:rPr>
          <w:sz w:val="28"/>
          <w:szCs w:val="28"/>
        </w:rPr>
      </w:pPr>
      <w:r w:rsidRPr="00D94F32">
        <w:rPr>
          <w:sz w:val="28"/>
          <w:szCs w:val="28"/>
        </w:rPr>
        <w:t xml:space="preserve">В 2024 году на территории республики введено в действие 333,9 тыс.кв.м. жилой площади, что на 6,9% выше уровня 2023 года (312,4 тыс. кв.м.). </w:t>
      </w:r>
    </w:p>
    <w:p w:rsidR="00513C81" w:rsidRPr="00D94F32" w:rsidRDefault="00D94F32">
      <w:pPr>
        <w:widowControl w:val="0"/>
        <w:ind w:firstLine="709"/>
        <w:jc w:val="both"/>
        <w:rPr>
          <w:sz w:val="28"/>
          <w:szCs w:val="28"/>
        </w:rPr>
      </w:pPr>
      <w:r w:rsidRPr="00D94F32">
        <w:rPr>
          <w:sz w:val="28"/>
          <w:szCs w:val="28"/>
        </w:rPr>
        <w:t xml:space="preserve">Прибыль </w:t>
      </w:r>
      <w:r w:rsidRPr="00D94F32">
        <w:rPr>
          <w:sz w:val="28"/>
          <w:szCs w:val="28"/>
        </w:rPr>
        <w:t>прибыльных организаций выросла на 34,5% к 2023 году и составила 65 млрд.рублей.</w:t>
      </w:r>
    </w:p>
    <w:p w:rsidR="00513C81" w:rsidRPr="00D94F32" w:rsidRDefault="00D94F32">
      <w:pPr>
        <w:widowControl w:val="0"/>
        <w:ind w:firstLine="709"/>
        <w:jc w:val="both"/>
        <w:rPr>
          <w:sz w:val="28"/>
          <w:szCs w:val="28"/>
        </w:rPr>
      </w:pPr>
      <w:r w:rsidRPr="00D94F32">
        <w:rPr>
          <w:sz w:val="28"/>
          <w:szCs w:val="28"/>
        </w:rPr>
        <w:t>Вместе с тем индекс производства промышленной продукции</w:t>
      </w:r>
      <w:r w:rsidRPr="00D94F32">
        <w:rPr>
          <w:sz w:val="28"/>
          <w:szCs w:val="28"/>
        </w:rPr>
        <w:t xml:space="preserve"> в сопоставимых ценах составил 99,3%. В добыче полезных ископаемых индекс производства составил 102%, обрабатывающих про</w:t>
      </w:r>
      <w:r w:rsidRPr="00D94F32">
        <w:rPr>
          <w:sz w:val="28"/>
          <w:szCs w:val="28"/>
        </w:rPr>
        <w:t>изводствах – 97,2%, обеспечении электрической энергией, газом и паром; кондиционировании воздуха – 104,7%, водоснабжении; водоотведении, организации сбора и утилизации отходов, деятельности по ликвидации загрязнений – 81,5%.</w:t>
      </w:r>
    </w:p>
    <w:p w:rsidR="00513C81" w:rsidRPr="00D94F32" w:rsidRDefault="00D94F32">
      <w:pPr>
        <w:widowControl w:val="0"/>
        <w:ind w:firstLine="709"/>
        <w:jc w:val="both"/>
        <w:rPr>
          <w:sz w:val="28"/>
          <w:szCs w:val="28"/>
        </w:rPr>
      </w:pPr>
      <w:r w:rsidRPr="00D94F32">
        <w:rPr>
          <w:sz w:val="28"/>
          <w:szCs w:val="28"/>
        </w:rPr>
        <w:t>Вместе с тем объем производства</w:t>
      </w:r>
      <w:r w:rsidRPr="00D94F32">
        <w:rPr>
          <w:sz w:val="28"/>
          <w:szCs w:val="28"/>
        </w:rPr>
        <w:t xml:space="preserve"> сельскохозяйственной продукции по сравнению с 2023 годом снизился на 1,9 % в сопоставимых ценах. </w:t>
      </w:r>
    </w:p>
    <w:p w:rsidR="00513C81" w:rsidRPr="00D94F32" w:rsidRDefault="00D94F32">
      <w:pPr>
        <w:widowControl w:val="0"/>
        <w:ind w:firstLine="709"/>
        <w:jc w:val="both"/>
        <w:rPr>
          <w:sz w:val="28"/>
          <w:szCs w:val="28"/>
        </w:rPr>
      </w:pPr>
      <w:r w:rsidRPr="00D94F32">
        <w:rPr>
          <w:sz w:val="28"/>
          <w:szCs w:val="28"/>
        </w:rPr>
        <w:t>Объем работ, выполненных по виду деятельности «строительство» снизился в 2024 году на 38,1% к уровню 2023 года в сопоставимых ценах и составил 41,0 млрд.рубл</w:t>
      </w:r>
      <w:r w:rsidRPr="00D94F32">
        <w:rPr>
          <w:sz w:val="28"/>
          <w:szCs w:val="28"/>
        </w:rPr>
        <w:t>ей.</w:t>
      </w:r>
    </w:p>
    <w:p w:rsidR="00513C81" w:rsidRPr="00D94F32" w:rsidRDefault="00D94F32">
      <w:pPr>
        <w:widowControl w:val="0"/>
        <w:ind w:firstLine="709"/>
        <w:jc w:val="both"/>
        <w:rPr>
          <w:sz w:val="28"/>
          <w:szCs w:val="28"/>
        </w:rPr>
      </w:pPr>
      <w:r w:rsidRPr="00D94F32">
        <w:rPr>
          <w:sz w:val="28"/>
          <w:szCs w:val="28"/>
        </w:rPr>
        <w:t xml:space="preserve">Индекс потребительских цен (декабрь к декабрю предыдущего года) составил </w:t>
      </w:r>
      <w:r w:rsidRPr="00D94F32">
        <w:rPr>
          <w:sz w:val="28"/>
          <w:szCs w:val="28"/>
        </w:rPr>
        <w:t>108,6% (РФ – 109,5%).</w:t>
      </w:r>
    </w:p>
    <w:p w:rsidR="00513C81" w:rsidRPr="00D94F32" w:rsidRDefault="00D94F32">
      <w:pPr>
        <w:widowControl w:val="0"/>
        <w:ind w:firstLine="709"/>
        <w:jc w:val="both"/>
        <w:rPr>
          <w:sz w:val="28"/>
          <w:szCs w:val="28"/>
        </w:rPr>
      </w:pPr>
      <w:r w:rsidRPr="00D94F32">
        <w:rPr>
          <w:sz w:val="28"/>
          <w:szCs w:val="28"/>
        </w:rPr>
        <w:t xml:space="preserve">Среднемесячная номинальная начисленная заработная плата в 2024 году выросла по сравнению с 2023 годом на 114,6% до 74,2 тыс. рублей. </w:t>
      </w:r>
    </w:p>
    <w:p w:rsidR="00513C81" w:rsidRPr="00D94F32" w:rsidRDefault="00D94F32">
      <w:pPr>
        <w:widowControl w:val="0"/>
        <w:ind w:firstLine="709"/>
        <w:jc w:val="both"/>
        <w:rPr>
          <w:sz w:val="28"/>
          <w:szCs w:val="28"/>
        </w:rPr>
      </w:pPr>
      <w:r w:rsidRPr="00D94F32">
        <w:rPr>
          <w:sz w:val="28"/>
          <w:szCs w:val="28"/>
        </w:rPr>
        <w:t>За счет роста заработн</w:t>
      </w:r>
      <w:r w:rsidRPr="00D94F32">
        <w:rPr>
          <w:sz w:val="28"/>
          <w:szCs w:val="28"/>
        </w:rPr>
        <w:t xml:space="preserve">ой платы, доходов от предпринимательской деятельности и социальных выплат реальные доходы населения в 2024 году выросли на 8,4% к 2023 году, что в свою очередь благоприятно сказалось на </w:t>
      </w:r>
      <w:r w:rsidRPr="00D94F32">
        <w:rPr>
          <w:sz w:val="28"/>
          <w:szCs w:val="28"/>
        </w:rPr>
        <w:lastRenderedPageBreak/>
        <w:t>потребительском рынке.</w:t>
      </w:r>
    </w:p>
    <w:p w:rsidR="00513C81" w:rsidRPr="00D94F32" w:rsidRDefault="00D94F32">
      <w:pPr>
        <w:widowControl w:val="0"/>
        <w:ind w:firstLine="709"/>
        <w:jc w:val="both"/>
        <w:rPr>
          <w:sz w:val="28"/>
          <w:szCs w:val="28"/>
        </w:rPr>
      </w:pPr>
      <w:r w:rsidRPr="00D94F32">
        <w:rPr>
          <w:sz w:val="28"/>
          <w:szCs w:val="28"/>
        </w:rPr>
        <w:t>Оборот розничной торговли превысил уровень 2023</w:t>
      </w:r>
      <w:r w:rsidRPr="00D94F32">
        <w:rPr>
          <w:sz w:val="28"/>
          <w:szCs w:val="28"/>
        </w:rPr>
        <w:t xml:space="preserve"> года на 1,3% в сопоставимых ценах и составил 199,6 млрд.руб., оборот общественного питания – на 11,5% (14,7 млрд.руб.), объем платных услуг населению – на 2,7% (62,6 млрд.руб.).</w:t>
      </w:r>
    </w:p>
    <w:p w:rsidR="00513C81" w:rsidRPr="00D94F32" w:rsidRDefault="00D94F32">
      <w:pPr>
        <w:widowControl w:val="0"/>
        <w:ind w:firstLine="567"/>
        <w:jc w:val="both"/>
        <w:rPr>
          <w:sz w:val="28"/>
          <w:szCs w:val="28"/>
        </w:rPr>
      </w:pPr>
      <w:r w:rsidRPr="00D94F32">
        <w:rPr>
          <w:sz w:val="28"/>
          <w:szCs w:val="28"/>
        </w:rPr>
        <w:t xml:space="preserve">В 2024 году уровень общей безработицы снизился </w:t>
      </w:r>
      <w:r w:rsidRPr="00D94F32">
        <w:rPr>
          <w:sz w:val="28"/>
          <w:szCs w:val="28"/>
        </w:rPr>
        <w:t>до 4,1%. Уровень регистрируем</w:t>
      </w:r>
      <w:r w:rsidRPr="00D94F32">
        <w:rPr>
          <w:sz w:val="28"/>
          <w:szCs w:val="28"/>
        </w:rPr>
        <w:t>ой безработицы на 1 января 2025 года составил 0,6% и снизился по сравнению с началом 2024 года на 0,4 п.п. (1%).</w:t>
      </w:r>
    </w:p>
    <w:p w:rsidR="00513C81" w:rsidRPr="00D94F32" w:rsidRDefault="00D94F32">
      <w:pPr>
        <w:widowControl w:val="0"/>
        <w:ind w:firstLine="567"/>
        <w:jc w:val="both"/>
        <w:rPr>
          <w:sz w:val="28"/>
          <w:szCs w:val="28"/>
        </w:rPr>
      </w:pPr>
      <w:r w:rsidRPr="00D94F32">
        <w:rPr>
          <w:sz w:val="28"/>
          <w:szCs w:val="28"/>
        </w:rPr>
        <w:t>По данным Карелиястата валовый региональный продукт (ВРП) по итогам 2023 года составил 434,3 млрд. рублей при индексе физического объема 103,6%</w:t>
      </w:r>
      <w:r w:rsidRPr="00D94F32">
        <w:rPr>
          <w:sz w:val="28"/>
          <w:szCs w:val="28"/>
        </w:rPr>
        <w:t xml:space="preserve"> к уровню 2022 года. По 2024 году ВРП оценивается в сумме 462  млрд.рублей, индекс физического объема – 100% к уровню 2023 года.</w:t>
      </w:r>
    </w:p>
    <w:p w:rsidR="00513C81" w:rsidRPr="00D94F32" w:rsidRDefault="00513C81">
      <w:pPr>
        <w:pStyle w:val="26"/>
        <w:spacing w:line="312" w:lineRule="auto"/>
        <w:ind w:firstLine="709"/>
        <w:jc w:val="center"/>
        <w:rPr>
          <w:bCs w:val="0"/>
          <w:sz w:val="28"/>
          <w:szCs w:val="28"/>
          <w:highlight w:val="yellow"/>
        </w:rPr>
      </w:pPr>
    </w:p>
    <w:p w:rsidR="00513C81" w:rsidRPr="00D94F32" w:rsidRDefault="00D94F32">
      <w:pPr>
        <w:widowControl w:val="0"/>
        <w:ind w:firstLine="567"/>
        <w:jc w:val="center"/>
        <w:rPr>
          <w:b/>
          <w:sz w:val="28"/>
          <w:szCs w:val="28"/>
        </w:rPr>
      </w:pPr>
      <w:r w:rsidRPr="00D94F32">
        <w:rPr>
          <w:b/>
          <w:sz w:val="28"/>
          <w:szCs w:val="28"/>
        </w:rPr>
        <w:t>Прогноз социально-экономической ситуации в регионе на 2026-2028 годы</w:t>
      </w:r>
    </w:p>
    <w:p w:rsidR="00513C81" w:rsidRPr="00D94F32" w:rsidRDefault="00D94F32">
      <w:pPr>
        <w:ind w:firstLine="709"/>
        <w:jc w:val="both"/>
        <w:rPr>
          <w:rFonts w:eastAsia="Calibri"/>
          <w:b/>
          <w:sz w:val="28"/>
          <w:szCs w:val="28"/>
          <w:lang w:eastAsia="en-US"/>
        </w:rPr>
      </w:pPr>
      <w:r w:rsidRPr="00D94F32">
        <w:rPr>
          <w:rFonts w:eastAsia="Calibri"/>
          <w:sz w:val="28"/>
          <w:szCs w:val="28"/>
          <w:lang w:eastAsia="en-US"/>
        </w:rPr>
        <w:t xml:space="preserve">Одним из основных внутренних условий при разработке прогноза социально-экономического развития республики является </w:t>
      </w:r>
      <w:r w:rsidRPr="00D94F32">
        <w:rPr>
          <w:rFonts w:eastAsia="Calibri"/>
          <w:b/>
          <w:sz w:val="28"/>
          <w:szCs w:val="28"/>
          <w:lang w:eastAsia="en-US"/>
        </w:rPr>
        <w:t>ценовой фактор.</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В связи с этим необходимо </w:t>
      </w:r>
      <w:r w:rsidRPr="00D94F32">
        <w:rPr>
          <w:rFonts w:eastAsia="Calibri"/>
          <w:sz w:val="28"/>
          <w:szCs w:val="28"/>
          <w:lang w:eastAsia="en-US"/>
        </w:rPr>
        <w:t>отметить более высокую индексацию регулируемых тарифов на продукцию и услуги компаний инфраструкту</w:t>
      </w:r>
      <w:r w:rsidRPr="00D94F32">
        <w:rPr>
          <w:rFonts w:eastAsia="Calibri"/>
          <w:sz w:val="28"/>
          <w:szCs w:val="28"/>
          <w:lang w:eastAsia="en-US"/>
        </w:rPr>
        <w:t xml:space="preserve">рного сектора, предусмотренную Министерством экономического развития Российской Федерации на 2026-2028 годы, в сравнении с заложенной </w:t>
      </w:r>
      <w:r w:rsidRPr="00D94F32">
        <w:rPr>
          <w:rFonts w:eastAsia="Calibri"/>
          <w:sz w:val="28"/>
          <w:szCs w:val="28"/>
          <w:lang w:eastAsia="en-US"/>
        </w:rPr>
        <w:t xml:space="preserve">в </w:t>
      </w:r>
      <w:r w:rsidRPr="00D94F32">
        <w:rPr>
          <w:rFonts w:eastAsia="Calibri"/>
          <w:sz w:val="28"/>
          <w:szCs w:val="28"/>
          <w:lang w:eastAsia="en-US"/>
        </w:rPr>
        <w:t>прогнозе на 2025-2027 годы.</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Так, индексация оптовых цен на газ для населения </w:t>
      </w:r>
      <w:r w:rsidRPr="00D94F32">
        <w:rPr>
          <w:rFonts w:eastAsia="Calibri"/>
          <w:sz w:val="28"/>
          <w:szCs w:val="28"/>
          <w:lang w:eastAsia="en-US"/>
        </w:rPr>
        <w:t xml:space="preserve">в 2025 году повышена с 8,2% до 10,3%, в </w:t>
      </w:r>
      <w:r w:rsidRPr="00D94F32">
        <w:rPr>
          <w:rFonts w:eastAsia="Calibri"/>
          <w:sz w:val="28"/>
          <w:szCs w:val="28"/>
          <w:lang w:eastAsia="en-US"/>
        </w:rPr>
        <w:t>2026 году – с 3 - до 10,6%, в 2027 году с 4% до 9%.</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Индексация тарифов на электроэнергию для населения </w:t>
      </w:r>
      <w:r w:rsidRPr="00D94F32">
        <w:rPr>
          <w:rFonts w:eastAsia="Calibri"/>
          <w:sz w:val="28"/>
          <w:szCs w:val="28"/>
          <w:lang w:eastAsia="en-US"/>
        </w:rPr>
        <w:t xml:space="preserve">повышена </w:t>
      </w:r>
      <w:r w:rsidRPr="00D94F32">
        <w:rPr>
          <w:rFonts w:eastAsia="Calibri"/>
          <w:sz w:val="28"/>
          <w:szCs w:val="28"/>
          <w:lang w:eastAsia="en-US"/>
        </w:rPr>
        <w:t>в 2025 году - с 6% до 12,6%, в 2026 году - с 5% до 9,3%, в 2027 году - с 4% до 6,9%.</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Индексация совокупного платежа граждан за коммунальные ус</w:t>
      </w:r>
      <w:r w:rsidRPr="00D94F32">
        <w:rPr>
          <w:rFonts w:eastAsia="Calibri"/>
          <w:sz w:val="28"/>
          <w:szCs w:val="28"/>
          <w:lang w:eastAsia="en-US"/>
        </w:rPr>
        <w:t xml:space="preserve">луги выросла в </w:t>
      </w:r>
      <w:r w:rsidRPr="00D94F32">
        <w:rPr>
          <w:rFonts w:eastAsia="Calibri"/>
          <w:sz w:val="28"/>
          <w:szCs w:val="28"/>
          <w:lang w:eastAsia="en-US"/>
        </w:rPr>
        <w:t xml:space="preserve">2025 году с 5,7 до 11,9%, в 2026 году – с </w:t>
      </w:r>
      <w:r w:rsidRPr="00D94F32">
        <w:rPr>
          <w:rFonts w:eastAsia="Calibri"/>
          <w:sz w:val="28"/>
          <w:szCs w:val="28"/>
          <w:lang w:eastAsia="en-US"/>
        </w:rPr>
        <w:t xml:space="preserve">4 до 9,8%, </w:t>
      </w:r>
      <w:r w:rsidRPr="00D94F32">
        <w:rPr>
          <w:rFonts w:eastAsia="Calibri"/>
          <w:sz w:val="28"/>
          <w:szCs w:val="28"/>
          <w:lang w:eastAsia="en-US"/>
        </w:rPr>
        <w:t>в 2027 году – с 4 до 7,9%.</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Кроме этого более высокий уровень индексации предполагается на железнодорожные пассажирские и грузовые перевозки.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Соответственно это повлияет с одной стороны</w:t>
      </w:r>
      <w:r w:rsidRPr="00D94F32">
        <w:rPr>
          <w:rFonts w:eastAsia="Calibri"/>
          <w:sz w:val="28"/>
          <w:szCs w:val="28"/>
          <w:lang w:eastAsia="en-US"/>
        </w:rPr>
        <w:t xml:space="preserve"> на снижение </w:t>
      </w:r>
      <w:r w:rsidRPr="00D94F32">
        <w:rPr>
          <w:rFonts w:eastAsia="Calibri"/>
          <w:sz w:val="28"/>
          <w:szCs w:val="28"/>
          <w:lang w:eastAsia="en-US"/>
        </w:rPr>
        <w:t>реально-располагаемых доходов населения, с другой стороны – на увеличение себестоимости выпускаемой продукции и как следствие – на снижение прибыли.</w:t>
      </w:r>
    </w:p>
    <w:p w:rsidR="00513C81" w:rsidRDefault="00D94F32">
      <w:pPr>
        <w:ind w:firstLine="709"/>
        <w:jc w:val="both"/>
        <w:rPr>
          <w:bCs/>
          <w:sz w:val="28"/>
          <w:szCs w:val="28"/>
        </w:rPr>
      </w:pPr>
      <w:r w:rsidRPr="00D94F32">
        <w:rPr>
          <w:rFonts w:eastAsia="Calibri"/>
          <w:sz w:val="28"/>
          <w:szCs w:val="28"/>
          <w:lang w:eastAsia="en-US"/>
        </w:rPr>
        <w:t xml:space="preserve">С учетом прогнозных индексов цен в Российской Федерации, а также внутренних условий развития </w:t>
      </w:r>
      <w:r w:rsidRPr="00D94F32">
        <w:rPr>
          <w:rFonts w:eastAsia="Calibri"/>
          <w:sz w:val="28"/>
          <w:szCs w:val="28"/>
          <w:lang w:eastAsia="en-US"/>
        </w:rPr>
        <w:t xml:space="preserve">экономики республики была сделана оценка ценовых параметров на 2025 год и разработан прогноз на 2026-2028 годы. </w:t>
      </w:r>
      <w:r w:rsidRPr="00D94F32">
        <w:rPr>
          <w:bCs/>
          <w:sz w:val="28"/>
          <w:szCs w:val="28"/>
        </w:rPr>
        <w:t>Прогноз индексов цен производителей по видам экономической деятельности, индексов потребительских цен по Республике Карелия до 2028 года предста</w:t>
      </w:r>
      <w:r w:rsidRPr="00D94F32">
        <w:rPr>
          <w:bCs/>
          <w:sz w:val="28"/>
          <w:szCs w:val="28"/>
        </w:rPr>
        <w:t>влен в таблице 1.</w:t>
      </w:r>
    </w:p>
    <w:p w:rsidR="00D94F32" w:rsidRDefault="00D94F32">
      <w:pPr>
        <w:ind w:firstLine="709"/>
        <w:jc w:val="both"/>
        <w:rPr>
          <w:bCs/>
          <w:sz w:val="28"/>
          <w:szCs w:val="28"/>
        </w:rPr>
      </w:pPr>
    </w:p>
    <w:p w:rsidR="00D94F32" w:rsidRDefault="00D94F32">
      <w:pPr>
        <w:ind w:firstLine="709"/>
        <w:jc w:val="both"/>
        <w:rPr>
          <w:bCs/>
          <w:sz w:val="28"/>
          <w:szCs w:val="28"/>
        </w:rPr>
      </w:pPr>
    </w:p>
    <w:p w:rsidR="00D94F32" w:rsidRDefault="00D94F32">
      <w:pPr>
        <w:ind w:firstLine="709"/>
        <w:jc w:val="both"/>
        <w:rPr>
          <w:bCs/>
          <w:sz w:val="28"/>
          <w:szCs w:val="28"/>
        </w:rPr>
      </w:pPr>
    </w:p>
    <w:p w:rsidR="00D94F32" w:rsidRPr="00D94F32" w:rsidRDefault="00D94F32">
      <w:pPr>
        <w:ind w:firstLine="709"/>
        <w:jc w:val="both"/>
        <w:rPr>
          <w:rFonts w:eastAsia="Calibri"/>
          <w:sz w:val="28"/>
          <w:szCs w:val="28"/>
          <w:lang w:eastAsia="en-US"/>
        </w:rPr>
      </w:pPr>
    </w:p>
    <w:p w:rsidR="00D94F32" w:rsidRDefault="00D94F32">
      <w:pPr>
        <w:ind w:firstLine="709"/>
        <w:jc w:val="right"/>
        <w:rPr>
          <w:bCs/>
        </w:rPr>
      </w:pPr>
    </w:p>
    <w:p w:rsidR="00513C81" w:rsidRDefault="00D94F32">
      <w:pPr>
        <w:ind w:firstLine="709"/>
        <w:jc w:val="right"/>
        <w:rPr>
          <w:bCs/>
        </w:rPr>
      </w:pPr>
      <w:r>
        <w:rPr>
          <w:bCs/>
        </w:rPr>
        <w:lastRenderedPageBreak/>
        <w:t>Таблица 1</w:t>
      </w:r>
    </w:p>
    <w:p w:rsidR="00513C81" w:rsidRDefault="00D94F32">
      <w:pPr>
        <w:ind w:firstLine="709"/>
        <w:jc w:val="center"/>
        <w:rPr>
          <w:bCs/>
        </w:rPr>
      </w:pPr>
      <w:r>
        <w:rPr>
          <w:bCs/>
        </w:rPr>
        <w:t>Прогноз индексов цен производителей по видам экономической деятельности, индексов потребительских цен по Республике Карелия до 2028 года</w:t>
      </w:r>
    </w:p>
    <w:p w:rsidR="00513C81" w:rsidRDefault="00513C81">
      <w:pPr>
        <w:ind w:firstLine="709"/>
        <w:jc w:val="center"/>
        <w:rPr>
          <w:bCs/>
        </w:rPr>
      </w:pPr>
    </w:p>
    <w:tbl>
      <w:tblPr>
        <w:tblW w:w="5000" w:type="pct"/>
        <w:tblInd w:w="113" w:type="dxa"/>
        <w:tblLayout w:type="fixed"/>
        <w:tblLook w:val="04A0" w:firstRow="1" w:lastRow="0" w:firstColumn="1" w:lastColumn="0" w:noHBand="0" w:noVBand="1"/>
      </w:tblPr>
      <w:tblGrid>
        <w:gridCol w:w="3567"/>
        <w:gridCol w:w="1439"/>
        <w:gridCol w:w="1438"/>
        <w:gridCol w:w="859"/>
        <w:gridCol w:w="775"/>
        <w:gridCol w:w="819"/>
        <w:gridCol w:w="816"/>
      </w:tblGrid>
      <w:tr w:rsidR="00513C81">
        <w:trPr>
          <w:trHeight w:val="1590"/>
          <w:tblHeader/>
        </w:trPr>
        <w:tc>
          <w:tcPr>
            <w:tcW w:w="38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3C81" w:rsidRDefault="00513C81">
            <w:pPr>
              <w:jc w:val="center"/>
              <w:rPr>
                <w:bCs/>
                <w:sz w:val="20"/>
                <w:szCs w:val="20"/>
              </w:rPr>
            </w:pPr>
          </w:p>
          <w:p w:rsidR="00513C81" w:rsidRDefault="00513C81">
            <w:pPr>
              <w:jc w:val="center"/>
              <w:rPr>
                <w:bCs/>
                <w:sz w:val="20"/>
                <w:szCs w:val="20"/>
              </w:rPr>
            </w:pPr>
          </w:p>
          <w:p w:rsidR="00513C81" w:rsidRDefault="00513C81">
            <w:pPr>
              <w:jc w:val="center"/>
              <w:rPr>
                <w:bCs/>
                <w:sz w:val="20"/>
                <w:szCs w:val="20"/>
              </w:rPr>
            </w:pPr>
          </w:p>
          <w:p w:rsidR="00513C81" w:rsidRDefault="00D94F32">
            <w:pPr>
              <w:jc w:val="center"/>
              <w:rPr>
                <w:bCs/>
                <w:sz w:val="20"/>
                <w:szCs w:val="20"/>
              </w:rPr>
            </w:pPr>
            <w:r>
              <w:rPr>
                <w:bCs/>
                <w:sz w:val="20"/>
                <w:szCs w:val="20"/>
              </w:rPr>
              <w:t>Наименование видов экономической деятельности</w:t>
            </w:r>
          </w:p>
        </w:tc>
        <w:tc>
          <w:tcPr>
            <w:tcW w:w="1554" w:type="dxa"/>
            <w:tcBorders>
              <w:top w:val="single" w:sz="4" w:space="0" w:color="000000"/>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Индексы цен производителей Республики Кар</w:t>
            </w:r>
            <w:r>
              <w:rPr>
                <w:bCs/>
                <w:sz w:val="20"/>
                <w:szCs w:val="20"/>
              </w:rPr>
              <w:t>елия 2023 г./2022 г. (факт)</w:t>
            </w:r>
          </w:p>
        </w:tc>
        <w:tc>
          <w:tcPr>
            <w:tcW w:w="1553" w:type="dxa"/>
            <w:tcBorders>
              <w:top w:val="single" w:sz="4" w:space="0" w:color="000000"/>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Индексы цен производителей Республики Карелия 2024 г./2023 г. (факт)</w:t>
            </w:r>
          </w:p>
        </w:tc>
        <w:tc>
          <w:tcPr>
            <w:tcW w:w="3493" w:type="dxa"/>
            <w:gridSpan w:val="4"/>
            <w:tcBorders>
              <w:top w:val="single" w:sz="4" w:space="0" w:color="000000"/>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 xml:space="preserve">Прогноз индексов цен производителей и индексов потребительских цен </w:t>
            </w:r>
            <w:r>
              <w:rPr>
                <w:bCs/>
                <w:sz w:val="20"/>
                <w:szCs w:val="20"/>
              </w:rPr>
              <w:br/>
              <w:t>(в %, год к предыдущему году)</w:t>
            </w:r>
          </w:p>
        </w:tc>
      </w:tr>
      <w:tr w:rsidR="00513C81">
        <w:trPr>
          <w:trHeight w:val="672"/>
          <w:tblHeader/>
        </w:trPr>
        <w:tc>
          <w:tcPr>
            <w:tcW w:w="3887" w:type="dxa"/>
            <w:vMerge/>
            <w:tcBorders>
              <w:top w:val="single" w:sz="4" w:space="0" w:color="000000"/>
              <w:left w:val="single" w:sz="4" w:space="0" w:color="000000"/>
              <w:bottom w:val="single" w:sz="4" w:space="0" w:color="000000"/>
              <w:right w:val="single" w:sz="4" w:space="0" w:color="000000"/>
            </w:tcBorders>
            <w:vAlign w:val="center"/>
          </w:tcPr>
          <w:p w:rsidR="00513C81" w:rsidRDefault="00513C81">
            <w:pPr>
              <w:rPr>
                <w:bCs/>
                <w:sz w:val="20"/>
                <w:szCs w:val="20"/>
              </w:rPr>
            </w:pPr>
          </w:p>
        </w:tc>
        <w:tc>
          <w:tcPr>
            <w:tcW w:w="1554"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всего (с учетом экспорта)</w:t>
            </w:r>
          </w:p>
        </w:tc>
        <w:tc>
          <w:tcPr>
            <w:tcW w:w="1553"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всего (с учетом экспорта)</w:t>
            </w:r>
          </w:p>
        </w:tc>
        <w:tc>
          <w:tcPr>
            <w:tcW w:w="919"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2025 год (оценка)</w:t>
            </w:r>
          </w:p>
        </w:tc>
        <w:tc>
          <w:tcPr>
            <w:tcW w:w="827"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2026 год</w:t>
            </w:r>
          </w:p>
        </w:tc>
        <w:tc>
          <w:tcPr>
            <w:tcW w:w="875"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2027 год</w:t>
            </w:r>
          </w:p>
        </w:tc>
        <w:tc>
          <w:tcPr>
            <w:tcW w:w="872"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2028 год</w:t>
            </w:r>
          </w:p>
        </w:tc>
      </w:tr>
      <w:tr w:rsidR="00513C81">
        <w:trPr>
          <w:trHeight w:val="39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bCs/>
                <w:sz w:val="20"/>
                <w:szCs w:val="20"/>
                <w:highlight w:val="yellow"/>
              </w:rPr>
            </w:pPr>
            <w:r>
              <w:rPr>
                <w:bCs/>
                <w:sz w:val="20"/>
                <w:szCs w:val="20"/>
              </w:rPr>
              <w:t>ПРОМЫШЛЕННОСТЬ - всего (В+С+Д+Е)</w:t>
            </w:r>
          </w:p>
        </w:tc>
        <w:tc>
          <w:tcPr>
            <w:tcW w:w="1554" w:type="dxa"/>
            <w:tcBorders>
              <w:bottom w:val="single" w:sz="4" w:space="0" w:color="000000"/>
              <w:right w:val="single" w:sz="4" w:space="0" w:color="000000"/>
            </w:tcBorders>
            <w:shd w:val="clear" w:color="auto" w:fill="auto"/>
            <w:vAlign w:val="center"/>
          </w:tcPr>
          <w:p w:rsidR="00513C81" w:rsidRDefault="00D94F32">
            <w:pPr>
              <w:jc w:val="center"/>
              <w:rPr>
                <w:b/>
                <w:bCs/>
                <w:color w:val="000000"/>
                <w:sz w:val="20"/>
                <w:szCs w:val="20"/>
              </w:rPr>
            </w:pPr>
            <w:r>
              <w:rPr>
                <w:b/>
                <w:bCs/>
                <w:color w:val="000000"/>
                <w:sz w:val="20"/>
                <w:szCs w:val="20"/>
              </w:rPr>
              <w:t>100,25</w:t>
            </w:r>
          </w:p>
        </w:tc>
        <w:tc>
          <w:tcPr>
            <w:tcW w:w="1553" w:type="dxa"/>
            <w:tcBorders>
              <w:bottom w:val="single" w:sz="4" w:space="0" w:color="000000"/>
              <w:right w:val="single" w:sz="4" w:space="0" w:color="000000"/>
            </w:tcBorders>
            <w:shd w:val="clear" w:color="auto" w:fill="auto"/>
            <w:vAlign w:val="center"/>
          </w:tcPr>
          <w:p w:rsidR="00513C81" w:rsidRDefault="00D94F32">
            <w:pPr>
              <w:jc w:val="center"/>
              <w:rPr>
                <w:b/>
                <w:bCs/>
                <w:color w:val="000000"/>
                <w:sz w:val="20"/>
                <w:szCs w:val="20"/>
              </w:rPr>
            </w:pPr>
            <w:r>
              <w:rPr>
                <w:b/>
                <w:bCs/>
                <w:color w:val="000000"/>
                <w:sz w:val="20"/>
                <w:szCs w:val="20"/>
              </w:rPr>
              <w:t>121,56</w:t>
            </w:r>
          </w:p>
        </w:tc>
        <w:tc>
          <w:tcPr>
            <w:tcW w:w="919" w:type="dxa"/>
            <w:tcBorders>
              <w:bottom w:val="single" w:sz="4" w:space="0" w:color="000000"/>
              <w:right w:val="single" w:sz="4" w:space="0" w:color="000000"/>
            </w:tcBorders>
            <w:shd w:val="clear" w:color="auto" w:fill="auto"/>
            <w:vAlign w:val="center"/>
          </w:tcPr>
          <w:p w:rsidR="00513C81" w:rsidRDefault="00D94F32">
            <w:pPr>
              <w:jc w:val="center"/>
              <w:rPr>
                <w:b/>
                <w:bCs/>
                <w:color w:val="000000"/>
                <w:sz w:val="20"/>
                <w:szCs w:val="20"/>
              </w:rPr>
            </w:pPr>
            <w:r>
              <w:rPr>
                <w:b/>
                <w:bCs/>
                <w:color w:val="000000"/>
                <w:sz w:val="20"/>
                <w:szCs w:val="20"/>
              </w:rPr>
              <w:t>106,5</w:t>
            </w:r>
          </w:p>
        </w:tc>
        <w:tc>
          <w:tcPr>
            <w:tcW w:w="827" w:type="dxa"/>
            <w:tcBorders>
              <w:bottom w:val="single" w:sz="4" w:space="0" w:color="000000"/>
              <w:right w:val="single" w:sz="4" w:space="0" w:color="000000"/>
            </w:tcBorders>
            <w:shd w:val="clear" w:color="auto" w:fill="auto"/>
            <w:vAlign w:val="center"/>
          </w:tcPr>
          <w:p w:rsidR="00513C81" w:rsidRDefault="00D94F32">
            <w:pPr>
              <w:jc w:val="center"/>
              <w:rPr>
                <w:b/>
                <w:bCs/>
                <w:color w:val="000000"/>
                <w:sz w:val="20"/>
                <w:szCs w:val="20"/>
              </w:rPr>
            </w:pPr>
            <w:r>
              <w:rPr>
                <w:b/>
                <w:bCs/>
                <w:color w:val="000000"/>
                <w:sz w:val="20"/>
                <w:szCs w:val="20"/>
              </w:rPr>
              <w:t>105,5</w:t>
            </w:r>
          </w:p>
        </w:tc>
        <w:tc>
          <w:tcPr>
            <w:tcW w:w="875" w:type="dxa"/>
            <w:tcBorders>
              <w:bottom w:val="single" w:sz="4" w:space="0" w:color="000000"/>
              <w:right w:val="single" w:sz="4" w:space="0" w:color="000000"/>
            </w:tcBorders>
            <w:shd w:val="clear" w:color="auto" w:fill="auto"/>
            <w:vAlign w:val="center"/>
          </w:tcPr>
          <w:p w:rsidR="00513C81" w:rsidRDefault="00D94F32">
            <w:pPr>
              <w:jc w:val="center"/>
              <w:rPr>
                <w:b/>
                <w:bCs/>
                <w:color w:val="000000"/>
                <w:sz w:val="20"/>
                <w:szCs w:val="20"/>
              </w:rPr>
            </w:pPr>
            <w:r>
              <w:rPr>
                <w:b/>
                <w:bCs/>
                <w:color w:val="000000"/>
                <w:sz w:val="20"/>
                <w:szCs w:val="20"/>
              </w:rPr>
              <w:t>104,9</w:t>
            </w:r>
          </w:p>
        </w:tc>
        <w:tc>
          <w:tcPr>
            <w:tcW w:w="872" w:type="dxa"/>
            <w:tcBorders>
              <w:bottom w:val="single" w:sz="4" w:space="0" w:color="000000"/>
              <w:right w:val="single" w:sz="4" w:space="0" w:color="000000"/>
            </w:tcBorders>
            <w:shd w:val="clear" w:color="auto" w:fill="auto"/>
            <w:vAlign w:val="center"/>
          </w:tcPr>
          <w:p w:rsidR="00513C81" w:rsidRDefault="00D94F32">
            <w:pPr>
              <w:jc w:val="center"/>
              <w:rPr>
                <w:b/>
                <w:bCs/>
                <w:color w:val="000000"/>
                <w:sz w:val="20"/>
                <w:szCs w:val="20"/>
              </w:rPr>
            </w:pPr>
            <w:r>
              <w:rPr>
                <w:b/>
                <w:bCs/>
                <w:color w:val="000000"/>
                <w:sz w:val="20"/>
                <w:szCs w:val="20"/>
              </w:rPr>
              <w:t>104,0</w:t>
            </w:r>
          </w:p>
        </w:tc>
      </w:tr>
      <w:tr w:rsidR="00513C81" w:rsidTr="00D94F32">
        <w:trPr>
          <w:trHeight w:val="263"/>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bCs/>
                <w:sz w:val="20"/>
                <w:szCs w:val="20"/>
              </w:rPr>
            </w:pPr>
            <w:r>
              <w:rPr>
                <w:b/>
                <w:bCs/>
                <w:sz w:val="20"/>
                <w:szCs w:val="20"/>
              </w:rPr>
              <w:t>Добыча полезных ископаемых</w:t>
            </w:r>
            <w:r>
              <w:rPr>
                <w:bCs/>
                <w:sz w:val="20"/>
                <w:szCs w:val="20"/>
              </w:rPr>
              <w:t xml:space="preserve"> (В)</w:t>
            </w:r>
          </w:p>
        </w:tc>
        <w:tc>
          <w:tcPr>
            <w:tcW w:w="1554"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96,88</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125,32</w:t>
            </w:r>
          </w:p>
        </w:tc>
        <w:tc>
          <w:tcPr>
            <w:tcW w:w="919"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96,8</w:t>
            </w:r>
          </w:p>
        </w:tc>
        <w:tc>
          <w:tcPr>
            <w:tcW w:w="827"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105,0</w:t>
            </w:r>
          </w:p>
        </w:tc>
        <w:tc>
          <w:tcPr>
            <w:tcW w:w="875"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104,6</w:t>
            </w:r>
          </w:p>
        </w:tc>
        <w:tc>
          <w:tcPr>
            <w:tcW w:w="872"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104,1</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в том числе: добыча металлургических руд</w:t>
            </w:r>
          </w:p>
        </w:tc>
        <w:tc>
          <w:tcPr>
            <w:tcW w:w="1554" w:type="dxa"/>
            <w:tcBorders>
              <w:bottom w:val="single" w:sz="4" w:space="0" w:color="000000"/>
              <w:right w:val="single" w:sz="4" w:space="0" w:color="000000"/>
            </w:tcBorders>
            <w:shd w:val="clear" w:color="auto" w:fill="auto"/>
          </w:tcPr>
          <w:p w:rsidR="00513C81" w:rsidRDefault="00D94F32">
            <w:pPr>
              <w:jc w:val="center"/>
              <w:rPr>
                <w:b/>
                <w:color w:val="000000"/>
                <w:sz w:val="20"/>
                <w:szCs w:val="20"/>
              </w:rPr>
            </w:pPr>
            <w:r>
              <w:rPr>
                <w:b/>
                <w:color w:val="000000"/>
                <w:sz w:val="20"/>
                <w:szCs w:val="20"/>
              </w:rPr>
              <w:t>94,88</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133,88</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96,0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105,0</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104,0</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добыча прочих полезных ископаемых</w:t>
            </w:r>
          </w:p>
        </w:tc>
        <w:tc>
          <w:tcPr>
            <w:tcW w:w="1554" w:type="dxa"/>
            <w:tcBorders>
              <w:bottom w:val="single" w:sz="4" w:space="0" w:color="000000"/>
              <w:right w:val="single" w:sz="4" w:space="0" w:color="000000"/>
            </w:tcBorders>
            <w:shd w:val="clear" w:color="auto" w:fill="auto"/>
          </w:tcPr>
          <w:p w:rsidR="00513C81" w:rsidRDefault="00D94F32">
            <w:pPr>
              <w:jc w:val="center"/>
              <w:rPr>
                <w:b/>
                <w:color w:val="000000"/>
                <w:sz w:val="20"/>
                <w:szCs w:val="20"/>
              </w:rPr>
            </w:pPr>
            <w:r>
              <w:rPr>
                <w:b/>
                <w:color w:val="000000"/>
                <w:sz w:val="20"/>
                <w:szCs w:val="20"/>
              </w:rPr>
              <w:t>107,13</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95,51</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100,0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105,0</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105,0</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b/>
                <w:bCs/>
                <w:sz w:val="20"/>
                <w:szCs w:val="20"/>
              </w:rPr>
            </w:pPr>
            <w:r>
              <w:rPr>
                <w:b/>
                <w:bCs/>
                <w:sz w:val="20"/>
                <w:szCs w:val="20"/>
              </w:rPr>
              <w:t>Обрабатывающие производства (С)</w:t>
            </w:r>
          </w:p>
        </w:tc>
        <w:tc>
          <w:tcPr>
            <w:tcW w:w="1554"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100,17</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122,48</w:t>
            </w:r>
          </w:p>
        </w:tc>
        <w:tc>
          <w:tcPr>
            <w:tcW w:w="919"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113,20</w:t>
            </w:r>
          </w:p>
        </w:tc>
        <w:tc>
          <w:tcPr>
            <w:tcW w:w="827"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104,80</w:t>
            </w:r>
          </w:p>
        </w:tc>
        <w:tc>
          <w:tcPr>
            <w:tcW w:w="875"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104,40</w:t>
            </w:r>
          </w:p>
        </w:tc>
        <w:tc>
          <w:tcPr>
            <w:tcW w:w="872"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103,90</w:t>
            </w:r>
          </w:p>
        </w:tc>
      </w:tr>
      <w:tr w:rsidR="00513C81">
        <w:trPr>
          <w:trHeight w:val="30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в том числе:</w:t>
            </w:r>
          </w:p>
        </w:tc>
        <w:tc>
          <w:tcPr>
            <w:tcW w:w="1554" w:type="dxa"/>
            <w:tcBorders>
              <w:bottom w:val="single" w:sz="4" w:space="0" w:color="000000"/>
              <w:right w:val="single" w:sz="4" w:space="0" w:color="000000"/>
            </w:tcBorders>
            <w:shd w:val="clear" w:color="auto" w:fill="auto"/>
          </w:tcPr>
          <w:p w:rsidR="00513C81" w:rsidRDefault="00D94F32">
            <w:pPr>
              <w:rPr>
                <w:color w:val="000000"/>
                <w:sz w:val="22"/>
                <w:szCs w:val="22"/>
              </w:rPr>
            </w:pPr>
            <w:r>
              <w:rPr>
                <w:color w:val="000000"/>
                <w:sz w:val="22"/>
                <w:szCs w:val="22"/>
              </w:rPr>
              <w:t> </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 </w:t>
            </w:r>
          </w:p>
        </w:tc>
        <w:tc>
          <w:tcPr>
            <w:tcW w:w="919"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 </w:t>
            </w:r>
          </w:p>
        </w:tc>
        <w:tc>
          <w:tcPr>
            <w:tcW w:w="827"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 </w:t>
            </w:r>
          </w:p>
        </w:tc>
        <w:tc>
          <w:tcPr>
            <w:tcW w:w="875"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 </w:t>
            </w:r>
          </w:p>
        </w:tc>
        <w:tc>
          <w:tcPr>
            <w:tcW w:w="872" w:type="dxa"/>
            <w:tcBorders>
              <w:bottom w:val="single" w:sz="4" w:space="0" w:color="000000"/>
              <w:right w:val="single" w:sz="4" w:space="0" w:color="000000"/>
            </w:tcBorders>
            <w:shd w:val="clear" w:color="auto" w:fill="auto"/>
            <w:vAlign w:val="bottom"/>
          </w:tcPr>
          <w:p w:rsidR="00513C81" w:rsidRDefault="00D94F32">
            <w:pPr>
              <w:rPr>
                <w:color w:val="000000"/>
                <w:sz w:val="22"/>
                <w:szCs w:val="22"/>
              </w:rPr>
            </w:pPr>
            <w:r>
              <w:rPr>
                <w:color w:val="000000"/>
                <w:sz w:val="22"/>
                <w:szCs w:val="22"/>
              </w:rPr>
              <w:t> </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производство пищевых продуктов</w:t>
            </w:r>
          </w:p>
        </w:tc>
        <w:tc>
          <w:tcPr>
            <w:tcW w:w="1554" w:type="dxa"/>
            <w:tcBorders>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t>104,15</w:t>
            </w:r>
          </w:p>
        </w:tc>
        <w:tc>
          <w:tcPr>
            <w:tcW w:w="1553"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110,56</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135,0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104,50</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104,0</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производство напитков</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101,38</w:t>
            </w:r>
          </w:p>
        </w:tc>
        <w:tc>
          <w:tcPr>
            <w:tcW w:w="1553"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106,66</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114,0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103,5</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103,50</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103,0</w:t>
            </w:r>
          </w:p>
        </w:tc>
      </w:tr>
      <w:tr w:rsidR="00513C81">
        <w:trPr>
          <w:trHeight w:val="75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обработка древесины и производство изделий из дерева и пробки, кроме мебели, производство изделий из соломки и материалов для плетения</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82,54</w:t>
            </w:r>
          </w:p>
        </w:tc>
        <w:tc>
          <w:tcPr>
            <w:tcW w:w="1553"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125,49</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120,0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104,0</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производство бумаги и бумажных изделий</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107,42</w:t>
            </w:r>
          </w:p>
        </w:tc>
        <w:tc>
          <w:tcPr>
            <w:tcW w:w="1553"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130,16</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109,0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105,0</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104,50</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104,0</w:t>
            </w:r>
          </w:p>
        </w:tc>
      </w:tr>
      <w:tr w:rsidR="00513C81">
        <w:trPr>
          <w:trHeight w:val="555"/>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производство химических веществ и химических продуктов</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65,57</w:t>
            </w:r>
          </w:p>
        </w:tc>
        <w:tc>
          <w:tcPr>
            <w:tcW w:w="1553"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106,21</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113,0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105,0</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104,50</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104,0</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производство прочей неметаллической минеральной продукции</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102,08</w:t>
            </w:r>
          </w:p>
        </w:tc>
        <w:tc>
          <w:tcPr>
            <w:tcW w:w="1553"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106,90</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100,0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104,0</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103,5</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производство металлургическое</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102,20</w:t>
            </w:r>
          </w:p>
        </w:tc>
        <w:tc>
          <w:tcPr>
            <w:tcW w:w="1553"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117,84</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103,0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104,0</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103,5</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103,0</w:t>
            </w:r>
          </w:p>
        </w:tc>
      </w:tr>
      <w:tr w:rsidR="00513C81">
        <w:trPr>
          <w:trHeight w:val="51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 xml:space="preserve">производство машин и оборудования, не включенных в другие группировки </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115,18</w:t>
            </w:r>
          </w:p>
        </w:tc>
        <w:tc>
          <w:tcPr>
            <w:tcW w:w="1553"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101,80</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85,0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105,0</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104,0</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прочие производства</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108,00</w:t>
            </w:r>
          </w:p>
        </w:tc>
        <w:tc>
          <w:tcPr>
            <w:tcW w:w="1553"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109,00</w:t>
            </w:r>
          </w:p>
        </w:tc>
        <w:tc>
          <w:tcPr>
            <w:tcW w:w="919"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109,0</w:t>
            </w:r>
          </w:p>
        </w:tc>
        <w:tc>
          <w:tcPr>
            <w:tcW w:w="827"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105,5</w:t>
            </w:r>
          </w:p>
        </w:tc>
        <w:tc>
          <w:tcPr>
            <w:tcW w:w="875"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104,5</w:t>
            </w:r>
          </w:p>
        </w:tc>
        <w:tc>
          <w:tcPr>
            <w:tcW w:w="872" w:type="dxa"/>
            <w:tcBorders>
              <w:bottom w:val="single" w:sz="4" w:space="0" w:color="000000"/>
              <w:right w:val="single" w:sz="4" w:space="0" w:color="000000"/>
            </w:tcBorders>
            <w:shd w:val="clear" w:color="auto" w:fill="auto"/>
          </w:tcPr>
          <w:p w:rsidR="00513C81" w:rsidRDefault="00D94F32">
            <w:pPr>
              <w:jc w:val="center"/>
              <w:rPr>
                <w:bCs/>
                <w:color w:val="000000"/>
                <w:sz w:val="20"/>
                <w:szCs w:val="20"/>
              </w:rPr>
            </w:pPr>
            <w:r>
              <w:rPr>
                <w:bCs/>
                <w:color w:val="000000"/>
                <w:sz w:val="20"/>
                <w:szCs w:val="20"/>
              </w:rPr>
              <w:t>104,0</w:t>
            </w:r>
          </w:p>
        </w:tc>
      </w:tr>
      <w:tr w:rsidR="00513C81">
        <w:trPr>
          <w:trHeight w:val="615"/>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b/>
                <w:bCs/>
                <w:sz w:val="20"/>
                <w:szCs w:val="20"/>
              </w:rPr>
            </w:pPr>
            <w:r>
              <w:rPr>
                <w:b/>
                <w:bCs/>
                <w:sz w:val="20"/>
                <w:szCs w:val="20"/>
              </w:rPr>
              <w:t>Обеспечение электрической энергией, газом и паром; кондиционирование воздуха (D)</w:t>
            </w:r>
          </w:p>
        </w:tc>
        <w:tc>
          <w:tcPr>
            <w:tcW w:w="1554"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113,19</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106,15</w:t>
            </w:r>
          </w:p>
        </w:tc>
        <w:tc>
          <w:tcPr>
            <w:tcW w:w="919"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112,5</w:t>
            </w:r>
          </w:p>
        </w:tc>
        <w:tc>
          <w:tcPr>
            <w:tcW w:w="827"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112,0</w:t>
            </w:r>
          </w:p>
        </w:tc>
        <w:tc>
          <w:tcPr>
            <w:tcW w:w="875"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109,0</w:t>
            </w:r>
          </w:p>
        </w:tc>
        <w:tc>
          <w:tcPr>
            <w:tcW w:w="872"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105,0</w:t>
            </w:r>
          </w:p>
        </w:tc>
      </w:tr>
      <w:tr w:rsidR="00513C81">
        <w:trPr>
          <w:trHeight w:val="855"/>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b/>
                <w:bCs/>
                <w:sz w:val="20"/>
                <w:szCs w:val="20"/>
              </w:rPr>
            </w:pPr>
            <w:r>
              <w:rPr>
                <w:b/>
                <w:bCs/>
                <w:sz w:val="20"/>
                <w:szCs w:val="20"/>
              </w:rPr>
              <w:t>Водоснабжение; водоотведение, организация сбора и утилизации отходов, деятельность по ликвидации загрязнений (Е)</w:t>
            </w:r>
          </w:p>
        </w:tc>
        <w:tc>
          <w:tcPr>
            <w:tcW w:w="1554"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110,05</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115,11</w:t>
            </w:r>
          </w:p>
        </w:tc>
        <w:tc>
          <w:tcPr>
            <w:tcW w:w="919"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115,0</w:t>
            </w:r>
          </w:p>
        </w:tc>
        <w:tc>
          <w:tcPr>
            <w:tcW w:w="827"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106,0</w:t>
            </w:r>
          </w:p>
        </w:tc>
        <w:tc>
          <w:tcPr>
            <w:tcW w:w="875"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105,0</w:t>
            </w:r>
          </w:p>
        </w:tc>
        <w:tc>
          <w:tcPr>
            <w:tcW w:w="872"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104,0</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Лесозаготовки</w:t>
            </w:r>
          </w:p>
        </w:tc>
        <w:tc>
          <w:tcPr>
            <w:tcW w:w="1554" w:type="dxa"/>
            <w:tcBorders>
              <w:bottom w:val="single" w:sz="4" w:space="0" w:color="000000"/>
              <w:right w:val="single" w:sz="4" w:space="0" w:color="000000"/>
            </w:tcBorders>
            <w:shd w:val="clear" w:color="auto" w:fill="auto"/>
          </w:tcPr>
          <w:p w:rsidR="00513C81" w:rsidRDefault="00D94F32">
            <w:pPr>
              <w:jc w:val="center"/>
              <w:rPr>
                <w:b/>
                <w:color w:val="000000"/>
                <w:sz w:val="20"/>
                <w:szCs w:val="20"/>
              </w:rPr>
            </w:pPr>
            <w:r>
              <w:rPr>
                <w:b/>
                <w:color w:val="000000"/>
                <w:sz w:val="20"/>
                <w:szCs w:val="20"/>
              </w:rPr>
              <w:t>93,70</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116,95</w:t>
            </w:r>
          </w:p>
        </w:tc>
        <w:tc>
          <w:tcPr>
            <w:tcW w:w="919"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110,0</w:t>
            </w:r>
          </w:p>
        </w:tc>
        <w:tc>
          <w:tcPr>
            <w:tcW w:w="827"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105,0</w:t>
            </w:r>
          </w:p>
        </w:tc>
        <w:tc>
          <w:tcPr>
            <w:tcW w:w="875"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104,5</w:t>
            </w:r>
          </w:p>
        </w:tc>
        <w:tc>
          <w:tcPr>
            <w:tcW w:w="872"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104,0</w:t>
            </w:r>
          </w:p>
        </w:tc>
      </w:tr>
      <w:tr w:rsidR="00513C81">
        <w:trPr>
          <w:trHeight w:val="525"/>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Строительство (продукция (затраты, услуги) инвестиционного назначения)</w:t>
            </w:r>
          </w:p>
        </w:tc>
        <w:tc>
          <w:tcPr>
            <w:tcW w:w="1554" w:type="dxa"/>
            <w:tcBorders>
              <w:bottom w:val="single" w:sz="4" w:space="0" w:color="000000"/>
              <w:right w:val="single" w:sz="4" w:space="0" w:color="000000"/>
            </w:tcBorders>
            <w:shd w:val="clear" w:color="auto" w:fill="auto"/>
          </w:tcPr>
          <w:p w:rsidR="00513C81" w:rsidRDefault="00D94F32">
            <w:pPr>
              <w:jc w:val="center"/>
              <w:rPr>
                <w:b/>
                <w:color w:val="000000"/>
                <w:sz w:val="20"/>
                <w:szCs w:val="20"/>
              </w:rPr>
            </w:pPr>
            <w:r>
              <w:rPr>
                <w:b/>
                <w:color w:val="000000"/>
                <w:sz w:val="20"/>
                <w:szCs w:val="20"/>
              </w:rPr>
              <w:t>112,58</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110,70</w:t>
            </w:r>
          </w:p>
        </w:tc>
        <w:tc>
          <w:tcPr>
            <w:tcW w:w="919"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110,0</w:t>
            </w:r>
          </w:p>
        </w:tc>
        <w:tc>
          <w:tcPr>
            <w:tcW w:w="827"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106,0</w:t>
            </w:r>
          </w:p>
        </w:tc>
        <w:tc>
          <w:tcPr>
            <w:tcW w:w="875"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105,0</w:t>
            </w:r>
          </w:p>
        </w:tc>
        <w:tc>
          <w:tcPr>
            <w:tcW w:w="872"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104,0</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Сельское хозяйство</w:t>
            </w:r>
          </w:p>
        </w:tc>
        <w:tc>
          <w:tcPr>
            <w:tcW w:w="1554" w:type="dxa"/>
            <w:tcBorders>
              <w:bottom w:val="single" w:sz="4" w:space="0" w:color="000000"/>
              <w:right w:val="single" w:sz="4" w:space="0" w:color="000000"/>
            </w:tcBorders>
            <w:shd w:val="clear" w:color="auto" w:fill="auto"/>
          </w:tcPr>
          <w:p w:rsidR="00513C81" w:rsidRDefault="00D94F32">
            <w:pPr>
              <w:jc w:val="center"/>
              <w:rPr>
                <w:b/>
                <w:color w:val="000000"/>
                <w:sz w:val="20"/>
                <w:szCs w:val="20"/>
              </w:rPr>
            </w:pPr>
            <w:r>
              <w:rPr>
                <w:b/>
                <w:color w:val="000000"/>
                <w:sz w:val="20"/>
                <w:szCs w:val="20"/>
              </w:rPr>
              <w:t>99,3</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110,80</w:t>
            </w:r>
          </w:p>
        </w:tc>
        <w:tc>
          <w:tcPr>
            <w:tcW w:w="919"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115,0</w:t>
            </w:r>
          </w:p>
        </w:tc>
        <w:tc>
          <w:tcPr>
            <w:tcW w:w="827"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105,0</w:t>
            </w:r>
          </w:p>
        </w:tc>
        <w:tc>
          <w:tcPr>
            <w:tcW w:w="875"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104,5</w:t>
            </w:r>
          </w:p>
        </w:tc>
        <w:tc>
          <w:tcPr>
            <w:tcW w:w="872"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104,0</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b/>
                <w:bCs/>
                <w:sz w:val="20"/>
                <w:szCs w:val="20"/>
              </w:rPr>
            </w:pPr>
            <w:r>
              <w:rPr>
                <w:b/>
                <w:bCs/>
                <w:sz w:val="20"/>
                <w:szCs w:val="20"/>
              </w:rPr>
              <w:t xml:space="preserve">Индекс потребительских цен </w:t>
            </w:r>
          </w:p>
        </w:tc>
        <w:tc>
          <w:tcPr>
            <w:tcW w:w="1554"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106,01</w:t>
            </w:r>
          </w:p>
        </w:tc>
        <w:tc>
          <w:tcPr>
            <w:tcW w:w="1553" w:type="dxa"/>
            <w:tcBorders>
              <w:bottom w:val="single" w:sz="4" w:space="0" w:color="000000"/>
              <w:right w:val="single" w:sz="4" w:space="0" w:color="000000"/>
            </w:tcBorders>
            <w:shd w:val="clear" w:color="auto" w:fill="auto"/>
          </w:tcPr>
          <w:p w:rsidR="00513C81" w:rsidRDefault="00D94F32">
            <w:pPr>
              <w:jc w:val="center"/>
              <w:rPr>
                <w:b/>
                <w:bCs/>
                <w:color w:val="000000"/>
                <w:sz w:val="20"/>
                <w:szCs w:val="20"/>
              </w:rPr>
            </w:pPr>
            <w:r>
              <w:rPr>
                <w:b/>
                <w:bCs/>
                <w:color w:val="000000"/>
                <w:sz w:val="20"/>
                <w:szCs w:val="20"/>
              </w:rPr>
              <w:t>107,80</w:t>
            </w:r>
          </w:p>
        </w:tc>
        <w:tc>
          <w:tcPr>
            <w:tcW w:w="919" w:type="dxa"/>
            <w:tcBorders>
              <w:bottom w:val="single" w:sz="4" w:space="0" w:color="000000"/>
              <w:right w:val="single" w:sz="4" w:space="0" w:color="000000"/>
            </w:tcBorders>
            <w:shd w:val="clear" w:color="auto" w:fill="auto"/>
          </w:tcPr>
          <w:p w:rsidR="00513C81" w:rsidRDefault="00D94F32">
            <w:pPr>
              <w:jc w:val="center"/>
              <w:rPr>
                <w:b/>
                <w:bCs/>
                <w:sz w:val="20"/>
                <w:szCs w:val="20"/>
              </w:rPr>
            </w:pPr>
            <w:r>
              <w:rPr>
                <w:b/>
                <w:bCs/>
                <w:sz w:val="20"/>
                <w:szCs w:val="20"/>
              </w:rPr>
              <w:t>109,3</w:t>
            </w:r>
          </w:p>
        </w:tc>
        <w:tc>
          <w:tcPr>
            <w:tcW w:w="827" w:type="dxa"/>
            <w:tcBorders>
              <w:bottom w:val="single" w:sz="4" w:space="0" w:color="000000"/>
              <w:right w:val="single" w:sz="4" w:space="0" w:color="000000"/>
            </w:tcBorders>
            <w:shd w:val="clear" w:color="auto" w:fill="auto"/>
          </w:tcPr>
          <w:p w:rsidR="00513C81" w:rsidRDefault="00D94F32">
            <w:pPr>
              <w:jc w:val="center"/>
              <w:rPr>
                <w:b/>
                <w:bCs/>
                <w:sz w:val="20"/>
                <w:szCs w:val="20"/>
              </w:rPr>
            </w:pPr>
            <w:r>
              <w:rPr>
                <w:b/>
                <w:bCs/>
                <w:sz w:val="20"/>
                <w:szCs w:val="20"/>
              </w:rPr>
              <w:t>105,6</w:t>
            </w:r>
          </w:p>
        </w:tc>
        <w:tc>
          <w:tcPr>
            <w:tcW w:w="875" w:type="dxa"/>
            <w:tcBorders>
              <w:bottom w:val="single" w:sz="4" w:space="0" w:color="000000"/>
              <w:right w:val="single" w:sz="4" w:space="0" w:color="000000"/>
            </w:tcBorders>
            <w:shd w:val="clear" w:color="auto" w:fill="auto"/>
          </w:tcPr>
          <w:p w:rsidR="00513C81" w:rsidRDefault="00D94F32">
            <w:pPr>
              <w:jc w:val="center"/>
              <w:rPr>
                <w:b/>
                <w:bCs/>
                <w:sz w:val="20"/>
                <w:szCs w:val="20"/>
              </w:rPr>
            </w:pPr>
            <w:r>
              <w:rPr>
                <w:b/>
                <w:bCs/>
                <w:sz w:val="20"/>
                <w:szCs w:val="20"/>
              </w:rPr>
              <w:t>104,7</w:t>
            </w:r>
          </w:p>
        </w:tc>
        <w:tc>
          <w:tcPr>
            <w:tcW w:w="872" w:type="dxa"/>
            <w:tcBorders>
              <w:bottom w:val="single" w:sz="4" w:space="0" w:color="000000"/>
              <w:right w:val="single" w:sz="4" w:space="0" w:color="000000"/>
            </w:tcBorders>
            <w:shd w:val="clear" w:color="auto" w:fill="auto"/>
          </w:tcPr>
          <w:p w:rsidR="00513C81" w:rsidRDefault="00D94F32">
            <w:pPr>
              <w:jc w:val="center"/>
              <w:rPr>
                <w:b/>
                <w:bCs/>
                <w:sz w:val="20"/>
                <w:szCs w:val="20"/>
              </w:rPr>
            </w:pPr>
            <w:r>
              <w:rPr>
                <w:b/>
                <w:bCs/>
                <w:sz w:val="20"/>
                <w:szCs w:val="20"/>
              </w:rPr>
              <w:t>104,2</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в том числе: товары</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103,88</w:t>
            </w:r>
          </w:p>
        </w:tc>
        <w:tc>
          <w:tcPr>
            <w:tcW w:w="1553"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106,64</w:t>
            </w:r>
          </w:p>
        </w:tc>
        <w:tc>
          <w:tcPr>
            <w:tcW w:w="919" w:type="dxa"/>
            <w:tcBorders>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t>108,0</w:t>
            </w:r>
          </w:p>
        </w:tc>
        <w:tc>
          <w:tcPr>
            <w:tcW w:w="827" w:type="dxa"/>
            <w:tcBorders>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t>105,5</w:t>
            </w:r>
          </w:p>
        </w:tc>
        <w:tc>
          <w:tcPr>
            <w:tcW w:w="875" w:type="dxa"/>
            <w:tcBorders>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t>104,5</w:t>
            </w:r>
          </w:p>
        </w:tc>
        <w:tc>
          <w:tcPr>
            <w:tcW w:w="872" w:type="dxa"/>
            <w:tcBorders>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t>104,0</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sz w:val="20"/>
                <w:szCs w:val="20"/>
              </w:rPr>
            </w:pPr>
            <w:r>
              <w:rPr>
                <w:sz w:val="20"/>
                <w:szCs w:val="20"/>
              </w:rPr>
              <w:t xml:space="preserve">            платные услуги населению</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112,05</w:t>
            </w:r>
          </w:p>
        </w:tc>
        <w:tc>
          <w:tcPr>
            <w:tcW w:w="1553"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110,32</w:t>
            </w:r>
          </w:p>
        </w:tc>
        <w:tc>
          <w:tcPr>
            <w:tcW w:w="919" w:type="dxa"/>
            <w:tcBorders>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t>112,1</w:t>
            </w:r>
          </w:p>
        </w:tc>
        <w:tc>
          <w:tcPr>
            <w:tcW w:w="827" w:type="dxa"/>
            <w:tcBorders>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t>105,8</w:t>
            </w:r>
          </w:p>
        </w:tc>
        <w:tc>
          <w:tcPr>
            <w:tcW w:w="875" w:type="dxa"/>
            <w:tcBorders>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t>105,0</w:t>
            </w:r>
          </w:p>
        </w:tc>
        <w:tc>
          <w:tcPr>
            <w:tcW w:w="872" w:type="dxa"/>
            <w:tcBorders>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t>104,5</w:t>
            </w:r>
          </w:p>
        </w:tc>
      </w:tr>
      <w:tr w:rsidR="00513C81">
        <w:trPr>
          <w:trHeight w:val="360"/>
        </w:trPr>
        <w:tc>
          <w:tcPr>
            <w:tcW w:w="10487" w:type="dxa"/>
            <w:gridSpan w:val="7"/>
            <w:tcBorders>
              <w:top w:val="single" w:sz="4" w:space="0" w:color="000000"/>
              <w:left w:val="single" w:sz="4" w:space="0" w:color="000000"/>
              <w:bottom w:val="single" w:sz="4" w:space="0" w:color="000000"/>
              <w:right w:val="single" w:sz="4" w:space="0" w:color="000000"/>
            </w:tcBorders>
            <w:shd w:val="clear" w:color="auto" w:fill="auto"/>
          </w:tcPr>
          <w:p w:rsidR="00513C81" w:rsidRDefault="00D94F32">
            <w:pPr>
              <w:jc w:val="center"/>
              <w:rPr>
                <w:b/>
                <w:bCs/>
                <w:sz w:val="20"/>
                <w:szCs w:val="20"/>
              </w:rPr>
            </w:pPr>
            <w:r>
              <w:rPr>
                <w:b/>
                <w:bCs/>
                <w:sz w:val="20"/>
                <w:szCs w:val="20"/>
              </w:rPr>
              <w:t>Показатели инфляции</w:t>
            </w:r>
          </w:p>
        </w:tc>
      </w:tr>
      <w:tr w:rsidR="00513C81">
        <w:trPr>
          <w:trHeight w:val="795"/>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jc w:val="center"/>
              <w:rPr>
                <w:sz w:val="20"/>
                <w:szCs w:val="20"/>
              </w:rPr>
            </w:pPr>
            <w:r>
              <w:rPr>
                <w:sz w:val="20"/>
                <w:szCs w:val="20"/>
              </w:rPr>
              <w:lastRenderedPageBreak/>
              <w:t> </w:t>
            </w:r>
          </w:p>
        </w:tc>
        <w:tc>
          <w:tcPr>
            <w:tcW w:w="1554"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дек. 2023 г. к дек. 2022 г. (факт)</w:t>
            </w:r>
          </w:p>
        </w:tc>
        <w:tc>
          <w:tcPr>
            <w:tcW w:w="1553"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дек. 2024 г. к дек. 2023 г. (факт)</w:t>
            </w:r>
          </w:p>
        </w:tc>
        <w:tc>
          <w:tcPr>
            <w:tcW w:w="919"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дек. 2025 г. к дек. 2024 г.</w:t>
            </w:r>
          </w:p>
        </w:tc>
        <w:tc>
          <w:tcPr>
            <w:tcW w:w="827"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дек. 2026 г. к дек. 2025 г.</w:t>
            </w:r>
          </w:p>
        </w:tc>
        <w:tc>
          <w:tcPr>
            <w:tcW w:w="875"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дек. 2027 г. к дек. 2026 г.</w:t>
            </w:r>
          </w:p>
        </w:tc>
        <w:tc>
          <w:tcPr>
            <w:tcW w:w="872" w:type="dxa"/>
            <w:tcBorders>
              <w:bottom w:val="single" w:sz="4" w:space="0" w:color="000000"/>
              <w:right w:val="single" w:sz="4" w:space="0" w:color="000000"/>
            </w:tcBorders>
            <w:shd w:val="clear" w:color="auto" w:fill="auto"/>
          </w:tcPr>
          <w:p w:rsidR="00513C81" w:rsidRDefault="00D94F32">
            <w:pPr>
              <w:jc w:val="center"/>
              <w:rPr>
                <w:bCs/>
                <w:sz w:val="20"/>
                <w:szCs w:val="20"/>
              </w:rPr>
            </w:pPr>
            <w:r>
              <w:rPr>
                <w:bCs/>
                <w:sz w:val="20"/>
                <w:szCs w:val="20"/>
              </w:rPr>
              <w:t>дек. 2028 г. к дек. 2027 г.</w:t>
            </w:r>
          </w:p>
        </w:tc>
      </w:tr>
      <w:tr w:rsidR="00513C81">
        <w:trPr>
          <w:trHeight w:val="360"/>
        </w:trPr>
        <w:tc>
          <w:tcPr>
            <w:tcW w:w="3887" w:type="dxa"/>
            <w:tcBorders>
              <w:left w:val="single" w:sz="4" w:space="0" w:color="000000"/>
              <w:bottom w:val="single" w:sz="4" w:space="0" w:color="000000"/>
              <w:right w:val="single" w:sz="4" w:space="0" w:color="000000"/>
            </w:tcBorders>
            <w:shd w:val="clear" w:color="auto" w:fill="auto"/>
          </w:tcPr>
          <w:p w:rsidR="00513C81" w:rsidRDefault="00D94F32">
            <w:pPr>
              <w:rPr>
                <w:b/>
                <w:bCs/>
                <w:sz w:val="20"/>
                <w:szCs w:val="20"/>
              </w:rPr>
            </w:pPr>
            <w:r>
              <w:rPr>
                <w:b/>
                <w:bCs/>
                <w:sz w:val="20"/>
                <w:szCs w:val="20"/>
              </w:rPr>
              <w:t>Инфляция (ИПЦ) за период, прирост цен в %</w:t>
            </w:r>
          </w:p>
        </w:tc>
        <w:tc>
          <w:tcPr>
            <w:tcW w:w="1554"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7,70</w:t>
            </w:r>
          </w:p>
        </w:tc>
        <w:tc>
          <w:tcPr>
            <w:tcW w:w="1553"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8,6</w:t>
            </w:r>
          </w:p>
        </w:tc>
        <w:tc>
          <w:tcPr>
            <w:tcW w:w="919"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8,6</w:t>
            </w:r>
          </w:p>
        </w:tc>
        <w:tc>
          <w:tcPr>
            <w:tcW w:w="827"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4,0</w:t>
            </w:r>
          </w:p>
        </w:tc>
        <w:tc>
          <w:tcPr>
            <w:tcW w:w="875"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4,0</w:t>
            </w:r>
          </w:p>
        </w:tc>
        <w:tc>
          <w:tcPr>
            <w:tcW w:w="872" w:type="dxa"/>
            <w:tcBorders>
              <w:bottom w:val="single" w:sz="4" w:space="0" w:color="000000"/>
              <w:right w:val="single" w:sz="4" w:space="0" w:color="000000"/>
            </w:tcBorders>
            <w:shd w:val="clear" w:color="auto" w:fill="auto"/>
          </w:tcPr>
          <w:p w:rsidR="00513C81" w:rsidRDefault="00D94F32">
            <w:pPr>
              <w:jc w:val="center"/>
              <w:rPr>
                <w:color w:val="000000"/>
                <w:sz w:val="20"/>
                <w:szCs w:val="20"/>
              </w:rPr>
            </w:pPr>
            <w:r>
              <w:rPr>
                <w:color w:val="000000"/>
                <w:sz w:val="20"/>
                <w:szCs w:val="20"/>
              </w:rPr>
              <w:t>4,0</w:t>
            </w:r>
          </w:p>
        </w:tc>
      </w:tr>
    </w:tbl>
    <w:p w:rsidR="00513C81" w:rsidRDefault="00513C81">
      <w:pPr>
        <w:ind w:firstLine="709"/>
        <w:jc w:val="right"/>
        <w:rPr>
          <w:bCs/>
          <w:highlight w:val="yellow"/>
        </w:rPr>
      </w:pP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Государственное регулирование тарифов осуществляется в соответствии с федеральным законодательством в сфере тарифного регулирования и принятыми решениями на федеральном уровне об установлении тарифов на все коммунальные услуги с календарной разбивкой.</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В це</w:t>
      </w:r>
      <w:r w:rsidRPr="00D94F32">
        <w:rPr>
          <w:rFonts w:eastAsia="Calibri"/>
          <w:sz w:val="28"/>
          <w:szCs w:val="28"/>
          <w:lang w:eastAsia="en-US"/>
        </w:rPr>
        <w:t>лях сдерживания роста цен на электрическую энергию для потребителей региона, благодаря проведению Правительством Республики Карелия активной работы, постановлением Правительства Российской Федерации от 19 января 2018 года № 29 «О внесении изменений в прило</w:t>
      </w:r>
      <w:r w:rsidRPr="00D94F32">
        <w:rPr>
          <w:rFonts w:eastAsia="Calibri"/>
          <w:sz w:val="28"/>
          <w:szCs w:val="28"/>
          <w:lang w:eastAsia="en-US"/>
        </w:rPr>
        <w:t xml:space="preserve">жение № 3 к Правилам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Республика Карелия </w:t>
      </w:r>
      <w:r w:rsidRPr="00D94F32">
        <w:rPr>
          <w:rFonts w:eastAsia="Calibri"/>
          <w:sz w:val="28"/>
          <w:szCs w:val="28"/>
          <w:lang w:eastAsia="en-US"/>
        </w:rPr>
        <w:t>на период с 1 апреля 2018 года до 1 января 2023 года была включена в Перечень территорий ценовых зон оптового рынка электрической энергии и мощности, для которых устанавливаются особенности функционирования оптового и розничных рынков. Данное решение явило</w:t>
      </w:r>
      <w:r w:rsidRPr="00D94F32">
        <w:rPr>
          <w:rFonts w:eastAsia="Calibri"/>
          <w:sz w:val="28"/>
          <w:szCs w:val="28"/>
          <w:lang w:eastAsia="en-US"/>
        </w:rPr>
        <w:t>сь результатом активной работы Правительства Республики Карелия по реализации мероприятий по снижению цен и сдерживанию роста цен на электрическую энергию для потребителей региона.</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Постановлением Правительства Российской Федерации от 29 октября 2022 года №</w:t>
      </w:r>
      <w:r w:rsidRPr="00D94F32">
        <w:rPr>
          <w:rFonts w:eastAsia="Calibri"/>
          <w:sz w:val="28"/>
          <w:szCs w:val="28"/>
          <w:lang w:eastAsia="en-US"/>
        </w:rPr>
        <w:t xml:space="preserve"> 1930 «О внесении изменений в приложение № 3 к Правилам оптового рынка электрической энергии и мощности» снято ограничение срока нахождения Республики Карелия в вышеуказанном Перечне.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Сбытовые надбавки гарантирующих поставщиков электрической энергии опред</w:t>
      </w:r>
      <w:r w:rsidRPr="00D94F32">
        <w:rPr>
          <w:rFonts w:eastAsia="Calibri"/>
          <w:sz w:val="28"/>
          <w:szCs w:val="28"/>
          <w:lang w:eastAsia="en-US"/>
        </w:rPr>
        <w:t>елены в соответствии с методикой, утвержденной приказом ФАС России от 21 ноября 2017 года № 1554/17 «Об утверждении методических указаний по расчету сбытовых надбавок гарантирующих поставщиков с использованием метода сравнения аналогов».</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Для решения пробле</w:t>
      </w:r>
      <w:r w:rsidRPr="00D94F32">
        <w:rPr>
          <w:rFonts w:eastAsia="Calibri"/>
          <w:sz w:val="28"/>
          <w:szCs w:val="28"/>
          <w:lang w:eastAsia="en-US"/>
        </w:rPr>
        <w:t>мы недофинансирования электросетевого комплекса Правительством Республики Карелия одобрено соглашение об условиях осуществления регулируемых видов деятельности между «Россети Северо-Запад» и Государственным комитетом Республики Карелия по ценам и тарифам о</w:t>
      </w:r>
      <w:r w:rsidRPr="00D94F32">
        <w:rPr>
          <w:rFonts w:eastAsia="Calibri"/>
          <w:sz w:val="28"/>
          <w:szCs w:val="28"/>
          <w:lang w:eastAsia="en-US"/>
        </w:rPr>
        <w:t xml:space="preserve">т 04.07.2024 № 1. Соглашением предусматривается поэтапный (на </w:t>
      </w:r>
      <w:r w:rsidRPr="00D94F32">
        <w:rPr>
          <w:rFonts w:eastAsia="Calibri"/>
          <w:sz w:val="28"/>
          <w:szCs w:val="28"/>
          <w:lang w:eastAsia="en-US"/>
        </w:rPr>
        <w:lastRenderedPageBreak/>
        <w:t>период 2025-2030 гг.) темп увеличения тарифов на услуги по передаче электрической энергии сверх параметров прогноза социально-экономического развития Российской Федерации. Приказом ФАС России от</w:t>
      </w:r>
      <w:r w:rsidRPr="00D94F32">
        <w:rPr>
          <w:rFonts w:eastAsia="Calibri"/>
          <w:sz w:val="28"/>
          <w:szCs w:val="28"/>
          <w:lang w:eastAsia="en-US"/>
        </w:rPr>
        <w:t xml:space="preserve"> 30.09.2024 № 671/24 согласовано заключение данного Соглашения.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В 2024 году средние тарифы на электроэнергию, отпущенную различным категориям потребителей, составили 5265,56 руб./тыс. кВт, что на 6,9% выше, чем в 2023 году, при этом тарифы для населения в</w:t>
      </w:r>
      <w:r w:rsidRPr="00D94F32">
        <w:rPr>
          <w:rFonts w:eastAsia="Calibri"/>
          <w:sz w:val="28"/>
          <w:szCs w:val="28"/>
          <w:lang w:eastAsia="en-US"/>
        </w:rPr>
        <w:t>ыросли на 3,9%, для прочих потребителей – на 7,5%.</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В 2025 году средние тарифы на электроэнергию, отпущенную различным категориям потребителей, оцениваются в размере 5801,16 руб./тыс. кВт с увеличением на 10,2% по сравнению с 2024 годом. Тенденция роста в с</w:t>
      </w:r>
      <w:r w:rsidRPr="00D94F32">
        <w:rPr>
          <w:rFonts w:eastAsia="Calibri"/>
          <w:sz w:val="28"/>
          <w:szCs w:val="28"/>
          <w:lang w:eastAsia="en-US"/>
        </w:rPr>
        <w:t xml:space="preserve">реднесрочном периоде сохранится: в 2026 году – на 19,4-15,4% (по консервативному и базовому варианту), в 2027 году – на 17,7-11,4%, в 2028 году – на 15,5-16,1%.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Начиная с 2024 года тарифы на электрическую энергию для населения республики устанавливаются с</w:t>
      </w:r>
      <w:r w:rsidRPr="00D94F32">
        <w:rPr>
          <w:rFonts w:eastAsia="Calibri"/>
          <w:sz w:val="28"/>
          <w:szCs w:val="28"/>
          <w:lang w:eastAsia="en-US"/>
        </w:rPr>
        <w:t xml:space="preserve"> дополнительной дифференциацией по объемам потребления электрической энергии с целью снижения перекрестного субсидирования населения и приравненных к нему категорий потребителей. При этом расчет прогнозного среднего тарифа на электрическую энергию осуществ</w:t>
      </w:r>
      <w:r w:rsidRPr="00D94F32">
        <w:rPr>
          <w:rFonts w:eastAsia="Calibri"/>
          <w:sz w:val="28"/>
          <w:szCs w:val="28"/>
          <w:lang w:eastAsia="en-US"/>
        </w:rPr>
        <w:t>лен исходя из тарифов первого диапазона объемов потребления электрической энергии.</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Индексация тарифов для населения в 2026-2028 годах предполагается с 1 июля: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 в консервативном варианте: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в 2026 году – </w:t>
      </w:r>
      <w:r w:rsidRPr="00D94F32">
        <w:rPr>
          <w:rFonts w:eastAsia="Calibri"/>
          <w:sz w:val="28"/>
          <w:szCs w:val="28"/>
          <w:lang w:eastAsia="en-US"/>
        </w:rPr>
        <w:t xml:space="preserve">на 12,3%, в 2027 году – на 9,9%, в 2028 году – на 7,9% с учетом превышения параметров прогноза социально-экономического развития Российской Федерации на 2026-2028 годы (далее – Прогноз) </w:t>
      </w:r>
      <w:r w:rsidRPr="00D94F32">
        <w:rPr>
          <w:rFonts w:eastAsia="Calibri"/>
          <w:sz w:val="28"/>
          <w:szCs w:val="28"/>
          <w:lang w:eastAsia="en-US"/>
        </w:rPr>
        <w:t xml:space="preserve">в целях сокращения перекрестного субсидирования в электроэнергетике;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в базовом варианте прогноза:</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 в 2026 году – на 9,3%, в 2027 году – на 6,9%, в 2028 году – на 4,9% в соответствии с параметрами Прогноза.</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При этом тарифы на электрическую энергию для населения являются одними из самых низких в Северо-Западном федеральном</w:t>
      </w:r>
      <w:r w:rsidRPr="00D94F32">
        <w:rPr>
          <w:rFonts w:eastAsia="Calibri"/>
          <w:sz w:val="28"/>
          <w:szCs w:val="28"/>
          <w:lang w:eastAsia="en-US"/>
        </w:rPr>
        <w:t xml:space="preserve"> округе.</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Для прочих потребителей рост цен на электроэнергию прогнозируется:</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в консервативном варианте в 2026 году - на 20,4%, в 2027 году - на 18,6%, в 2028 году - на 16,3%;</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в базовом варианте: в 2026 году - на 16,1%, в 2027 году - на 15,2%, в 2028 год</w:t>
      </w:r>
      <w:r w:rsidRPr="00D94F32">
        <w:rPr>
          <w:rFonts w:eastAsia="Calibri"/>
          <w:sz w:val="28"/>
          <w:szCs w:val="28"/>
          <w:lang w:eastAsia="en-US"/>
        </w:rPr>
        <w:t>у - на 17,5%.</w:t>
      </w:r>
    </w:p>
    <w:p w:rsidR="00513C81" w:rsidRPr="00D94F32" w:rsidRDefault="00D94F32">
      <w:pPr>
        <w:ind w:firstLine="709"/>
        <w:jc w:val="both"/>
        <w:rPr>
          <w:rFonts w:eastAsia="Calibri"/>
          <w:sz w:val="28"/>
          <w:szCs w:val="28"/>
          <w:highlight w:val="yellow"/>
          <w:lang w:eastAsia="en-US"/>
        </w:rPr>
      </w:pPr>
      <w:r w:rsidRPr="00D94F32">
        <w:rPr>
          <w:rFonts w:eastAsia="Calibri"/>
          <w:sz w:val="28"/>
          <w:szCs w:val="28"/>
          <w:lang w:eastAsia="en-US"/>
        </w:rPr>
        <w:t>В 2025 году потребление электроэнергии ожидается в объеме 6731,72 млн кВтч, что на 0,8% выше уровня 2024 года (6680,2 млн кВтч). В 2026-2028 годах по базовому варианту прогноза предусматривается увеличение объемов потребления электроэнергии н</w:t>
      </w:r>
      <w:r w:rsidRPr="00D94F32">
        <w:rPr>
          <w:rFonts w:eastAsia="Calibri"/>
          <w:sz w:val="28"/>
          <w:szCs w:val="28"/>
          <w:lang w:eastAsia="en-US"/>
        </w:rPr>
        <w:t xml:space="preserve">а 0,9% ежегодно.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Для прочих потребителей сбытовые надбавки гарантирующих поставщиков электрической энергии определены в соответствии с методикой, утвержденной приказом ФАС России от 21 ноября 2017 года № 1554/17 «Об утверждении методических указаний по ра</w:t>
      </w:r>
      <w:r w:rsidRPr="00D94F32">
        <w:rPr>
          <w:rFonts w:eastAsia="Calibri"/>
          <w:sz w:val="28"/>
          <w:szCs w:val="28"/>
          <w:lang w:eastAsia="en-US"/>
        </w:rPr>
        <w:t xml:space="preserve">счету сбытовых надбавок гарантирующих поставщиков с использованием метода сравнения аналогов».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lastRenderedPageBreak/>
        <w:t>При прогнозировании учтены следующие параметры:</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в консервативном варианте: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единые котловые тарифы на передачу электрической энергии прогнозируются с ростом с 1 июля 2026 года на 30,61%, с 1 июля 2027 года – на 10,6%, с 1 июля 2028 года – на 18,2% (с учетом предложений Карельского филиала ПАО «Россети Северо-Запад» о заключении до</w:t>
      </w:r>
      <w:r w:rsidRPr="00D94F32">
        <w:rPr>
          <w:rFonts w:eastAsia="Calibri"/>
          <w:sz w:val="28"/>
          <w:szCs w:val="28"/>
          <w:lang w:eastAsia="en-US"/>
        </w:rPr>
        <w:t xml:space="preserve">полнительного соглашения к действующему регуляторному соглашению и АО «Прионежская сетевая компания» о заключении регуляторного соглашения).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Формирование цены приобретения электрической энергии на оптовом рынке электрической энергии (мощности) с учетом сн</w:t>
      </w:r>
      <w:r w:rsidRPr="00D94F32">
        <w:rPr>
          <w:rFonts w:eastAsia="Calibri"/>
          <w:sz w:val="28"/>
          <w:szCs w:val="28"/>
          <w:lang w:eastAsia="en-US"/>
        </w:rPr>
        <w:t xml:space="preserve">ижения доли покупки по регулируемым ценам в соответствии с пунктом 8 статьи 36 Федерального закона от 26.03.2003 № 35-ФЗ «Об электроэнергетике»: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 1 января 2015 года по 31 декабря 2024 года – 100%;</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 1 января по 31 декабря 2025 года – не более 90%;</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 1 ян</w:t>
      </w:r>
      <w:r w:rsidRPr="00D94F32">
        <w:rPr>
          <w:rFonts w:eastAsia="Calibri"/>
          <w:sz w:val="28"/>
          <w:szCs w:val="28"/>
          <w:lang w:eastAsia="en-US"/>
        </w:rPr>
        <w:t>варя по 31 декабря 2026 года – не более 75%;</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 1 января по 31 декабря 2027 года – не более 60%.</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 1 января по 31 декабря 2028 года – не более 45 %.</w:t>
      </w:r>
    </w:p>
    <w:p w:rsidR="00513C81" w:rsidRPr="00D94F32" w:rsidRDefault="00D94F32">
      <w:pPr>
        <w:ind w:firstLine="709"/>
        <w:jc w:val="both"/>
        <w:rPr>
          <w:rFonts w:eastAsia="Calibri"/>
          <w:sz w:val="28"/>
          <w:szCs w:val="28"/>
          <w:lang w:eastAsia="en-US"/>
        </w:rPr>
      </w:pPr>
      <w:bookmarkStart w:id="0" w:name="_Hlk138683565"/>
      <w:bookmarkStart w:id="1" w:name="_Hlk138760128"/>
      <w:bookmarkEnd w:id="0"/>
      <w:r w:rsidRPr="00D94F32">
        <w:rPr>
          <w:rFonts w:eastAsia="Calibri"/>
          <w:sz w:val="28"/>
          <w:szCs w:val="28"/>
          <w:lang w:eastAsia="en-US"/>
        </w:rPr>
        <w:t>Рост индикативных (регулируемых) и нерегулируемых цен на электрическую энергию и мощности на оптовом рынке э</w:t>
      </w:r>
      <w:r w:rsidRPr="00D94F32">
        <w:rPr>
          <w:rFonts w:eastAsia="Calibri"/>
          <w:sz w:val="28"/>
          <w:szCs w:val="28"/>
          <w:lang w:eastAsia="en-US"/>
        </w:rPr>
        <w:t xml:space="preserve">лектрической энергии и мощности для прочих потребителей предусматривается ежегодно (с 1 июля) </w:t>
      </w:r>
      <w:bookmarkEnd w:id="1"/>
      <w:r w:rsidRPr="00D94F32">
        <w:rPr>
          <w:rFonts w:eastAsia="Calibri"/>
          <w:sz w:val="28"/>
          <w:szCs w:val="28"/>
          <w:lang w:eastAsia="en-US"/>
        </w:rPr>
        <w:t>на 11,0 % на электрическую энергию и на 15,0 % на мощность, исходя из роста индикативных (регулируемых) цен на электрическую энергию и мощность для прочих потреби</w:t>
      </w:r>
      <w:r w:rsidRPr="00D94F32">
        <w:rPr>
          <w:rFonts w:eastAsia="Calibri"/>
          <w:sz w:val="28"/>
          <w:szCs w:val="28"/>
          <w:lang w:eastAsia="en-US"/>
        </w:rPr>
        <w:t>телей в 2025 году;</w:t>
      </w:r>
    </w:p>
    <w:p w:rsidR="00513C81" w:rsidRPr="00D94F32" w:rsidRDefault="00D94F32">
      <w:pPr>
        <w:ind w:firstLine="709"/>
        <w:jc w:val="both"/>
        <w:rPr>
          <w:rFonts w:eastAsia="Calibri"/>
          <w:sz w:val="28"/>
          <w:szCs w:val="28"/>
          <w:highlight w:val="yellow"/>
          <w:lang w:eastAsia="en-US"/>
        </w:rPr>
      </w:pPr>
      <w:r w:rsidRPr="00D94F32">
        <w:rPr>
          <w:rFonts w:eastAsia="Calibri"/>
          <w:sz w:val="28"/>
          <w:szCs w:val="28"/>
          <w:lang w:eastAsia="en-US"/>
        </w:rPr>
        <w:t xml:space="preserve">в базовом варианте: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единые котловые тарифы на передачу электрической энергии прогнозируются с ростом с 1 июля 2026 года на 18,5 %, с 1 июля 2027 года – на 19,6 %, с 1 июля 2028 года – на 29,6 %</w:t>
      </w:r>
      <w:r w:rsidRPr="00D94F32">
        <w:rPr>
          <w:sz w:val="28"/>
          <w:szCs w:val="28"/>
          <w:lang w:eastAsia="en-US"/>
        </w:rPr>
        <w:t xml:space="preserve"> </w:t>
      </w:r>
      <w:r w:rsidRPr="00D94F32">
        <w:rPr>
          <w:rFonts w:eastAsia="Calibri"/>
          <w:sz w:val="28"/>
          <w:szCs w:val="28"/>
          <w:lang w:eastAsia="en-US"/>
        </w:rPr>
        <w:t>(с учетом Соглашения, положениями которог</w:t>
      </w:r>
      <w:r w:rsidRPr="00D94F32">
        <w:rPr>
          <w:rFonts w:eastAsia="Calibri"/>
          <w:sz w:val="28"/>
          <w:szCs w:val="28"/>
          <w:lang w:eastAsia="en-US"/>
        </w:rPr>
        <w:t xml:space="preserve">о определен поэтапный (ежегодный) темп увеличения тарифов на услуги по передаче электрической энергии сверх параметров Прогноза).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Формирование цены приобретения электрической энергии на оптовом рынке электрической энергии (мощности) с учетом снижения доли</w:t>
      </w:r>
      <w:r w:rsidRPr="00D94F32">
        <w:rPr>
          <w:rFonts w:eastAsia="Calibri"/>
          <w:sz w:val="28"/>
          <w:szCs w:val="28"/>
          <w:lang w:eastAsia="en-US"/>
        </w:rPr>
        <w:t xml:space="preserve"> покупки по регулируемым ценам в соответствии с пунктом 8 статьи 36 Федерального закона от 26.03.2003 № 35-ФЗ «Об электроэнергетике»: </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 1 января 2015 года по 31 декабря 2024 года – 100%;</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 1 января по 31 декабря 2025 года – не более 90%;</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с 1 января по 31 </w:t>
      </w:r>
      <w:r w:rsidRPr="00D94F32">
        <w:rPr>
          <w:rFonts w:eastAsia="Calibri"/>
          <w:sz w:val="28"/>
          <w:szCs w:val="28"/>
          <w:lang w:eastAsia="en-US"/>
        </w:rPr>
        <w:t>декабря 2026 года – не более 75%;</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 1 января по 31 декабря 2027 года – не более 60%.</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с 1 января по 31 декабря 2028 года – не более 45 %.</w:t>
      </w:r>
    </w:p>
    <w:p w:rsidR="00513C81" w:rsidRPr="00D94F32" w:rsidRDefault="00513C81">
      <w:pPr>
        <w:ind w:firstLine="709"/>
        <w:jc w:val="both"/>
        <w:rPr>
          <w:rFonts w:eastAsia="Calibri"/>
          <w:sz w:val="28"/>
          <w:szCs w:val="28"/>
          <w:highlight w:val="yellow"/>
          <w:lang w:eastAsia="en-US"/>
        </w:rPr>
      </w:pP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Рост индикативных (регулируемых) и нерегулируемых цен на электрическую энергию и мощность на оптовом рынке эл</w:t>
      </w:r>
      <w:r w:rsidRPr="00D94F32">
        <w:rPr>
          <w:rFonts w:eastAsia="Calibri"/>
          <w:sz w:val="28"/>
          <w:szCs w:val="28"/>
          <w:lang w:eastAsia="en-US"/>
        </w:rPr>
        <w:t xml:space="preserve">ектрической энергии и мощности для прочих потребителей предусматривается с 1 июля 2026 года на 5,4 %, с 1 июля 2027 года – на 4,0 %, с 1 июля 2028 года – на 4,0 % (с учетом параметров Сценарных условий в части прогнозируемого индекса потребительских цен). </w:t>
      </w:r>
    </w:p>
    <w:p w:rsidR="00513C81" w:rsidRPr="00D94F32" w:rsidRDefault="00513C81">
      <w:pPr>
        <w:ind w:firstLine="709"/>
        <w:jc w:val="both"/>
        <w:rPr>
          <w:rFonts w:eastAsia="Calibri"/>
          <w:sz w:val="28"/>
          <w:szCs w:val="28"/>
          <w:highlight w:val="yellow"/>
          <w:lang w:eastAsia="en-US"/>
        </w:rPr>
      </w:pPr>
    </w:p>
    <w:p w:rsidR="00513C81" w:rsidRPr="00D94F32" w:rsidRDefault="00D94F32">
      <w:pPr>
        <w:widowControl w:val="0"/>
        <w:ind w:firstLine="567"/>
        <w:jc w:val="both"/>
        <w:rPr>
          <w:sz w:val="28"/>
          <w:szCs w:val="28"/>
        </w:rPr>
      </w:pPr>
      <w:r w:rsidRPr="00D94F32">
        <w:rPr>
          <w:rFonts w:eastAsia="Calibri"/>
          <w:sz w:val="28"/>
          <w:szCs w:val="28"/>
          <w:lang w:eastAsia="en-US"/>
        </w:rPr>
        <w:t xml:space="preserve">Инфляция (прирост цен в декабре к декабрю предыдущего года) в 2025 </w:t>
      </w:r>
      <w:r w:rsidRPr="00D94F32">
        <w:rPr>
          <w:rFonts w:eastAsia="Calibri"/>
          <w:sz w:val="28"/>
          <w:szCs w:val="28"/>
          <w:lang w:eastAsia="en-US"/>
        </w:rPr>
        <w:lastRenderedPageBreak/>
        <w:t xml:space="preserve">году оценивается на уровне 8,6%.  </w:t>
      </w:r>
      <w:r w:rsidRPr="00D94F32">
        <w:rPr>
          <w:sz w:val="28"/>
          <w:szCs w:val="28"/>
        </w:rPr>
        <w:t xml:space="preserve">Предполагается снижение инфляции с выходом </w:t>
      </w:r>
      <w:r w:rsidRPr="00D94F32">
        <w:rPr>
          <w:sz w:val="28"/>
          <w:szCs w:val="28"/>
        </w:rPr>
        <w:t>на целевой уровень Банка России 4% в 2026 году и сохранением на этом уровне до конца прогнозируемого периода.</w:t>
      </w:r>
    </w:p>
    <w:p w:rsidR="00513C81" w:rsidRPr="00D94F32" w:rsidRDefault="00D94F32">
      <w:pPr>
        <w:ind w:firstLine="709"/>
        <w:jc w:val="both"/>
        <w:rPr>
          <w:rFonts w:eastAsia="Calibri"/>
          <w:sz w:val="28"/>
          <w:szCs w:val="28"/>
          <w:lang w:eastAsia="en-US"/>
        </w:rPr>
      </w:pPr>
      <w:r w:rsidRPr="00D94F32">
        <w:rPr>
          <w:rFonts w:eastAsia="Calibri"/>
          <w:sz w:val="28"/>
          <w:szCs w:val="28"/>
          <w:lang w:eastAsia="en-US"/>
        </w:rPr>
        <w:t xml:space="preserve">В среднегодовом выражении индекс потребительских цен в 2025 году по отношению к 2024 году оценивается на уровне 109,3%, </w:t>
      </w:r>
      <w:r w:rsidRPr="00D94F32">
        <w:rPr>
          <w:rFonts w:eastAsia="Calibri"/>
          <w:sz w:val="28"/>
          <w:szCs w:val="28"/>
          <w:lang w:eastAsia="en-US"/>
        </w:rPr>
        <w:t>в том числе на товары – 108%, платные услуги населению – 112,1%. В среднесрочном периоде прогнозируется снижение индекса потребительск</w:t>
      </w:r>
      <w:r w:rsidRPr="00D94F32">
        <w:rPr>
          <w:rFonts w:eastAsia="Calibri"/>
          <w:sz w:val="28"/>
          <w:szCs w:val="28"/>
          <w:lang w:eastAsia="en-US"/>
        </w:rPr>
        <w:t>их цен до 104,2% к 2028 году в соответствии со сценарными условиями Министерства экономического развития Российской Федерации.</w:t>
      </w:r>
    </w:p>
    <w:p w:rsidR="00513C81" w:rsidRPr="00D94F32" w:rsidRDefault="00D94F32">
      <w:pPr>
        <w:widowControl w:val="0"/>
        <w:ind w:firstLine="709"/>
        <w:jc w:val="both"/>
        <w:rPr>
          <w:sz w:val="28"/>
          <w:szCs w:val="28"/>
        </w:rPr>
      </w:pPr>
      <w:r w:rsidRPr="00D94F32">
        <w:rPr>
          <w:sz w:val="28"/>
          <w:szCs w:val="28"/>
        </w:rPr>
        <w:t xml:space="preserve">Одним из ключевых факторов, влияющих на дальнейшее развитие региона, является </w:t>
      </w:r>
      <w:r w:rsidRPr="00D94F32">
        <w:rPr>
          <w:b/>
          <w:sz w:val="28"/>
          <w:szCs w:val="28"/>
        </w:rPr>
        <w:t>привлечение инвестиций</w:t>
      </w:r>
      <w:r w:rsidRPr="00D94F32">
        <w:rPr>
          <w:sz w:val="28"/>
          <w:szCs w:val="28"/>
        </w:rPr>
        <w:t>.</w:t>
      </w:r>
    </w:p>
    <w:p w:rsidR="00513C81" w:rsidRPr="00D94F32" w:rsidRDefault="00D94F32">
      <w:pPr>
        <w:widowControl w:val="0"/>
        <w:ind w:firstLine="567"/>
        <w:jc w:val="both"/>
        <w:rPr>
          <w:sz w:val="28"/>
          <w:szCs w:val="28"/>
        </w:rPr>
      </w:pPr>
      <w:r w:rsidRPr="00D94F32">
        <w:rPr>
          <w:sz w:val="28"/>
          <w:szCs w:val="28"/>
        </w:rPr>
        <w:t>Прогноз развития инвестицио</w:t>
      </w:r>
      <w:r w:rsidRPr="00D94F32">
        <w:rPr>
          <w:sz w:val="28"/>
          <w:szCs w:val="28"/>
        </w:rPr>
        <w:t>нной деятельности на территории региона на период до 2028 года разработан с учетом показателей, предусмотренных в стратегических и программных документах инвестиционного и социально-экономического развития Республики Карелия, в Инвестиционной стратегии Рес</w:t>
      </w:r>
      <w:r w:rsidRPr="00D94F32">
        <w:rPr>
          <w:sz w:val="28"/>
          <w:szCs w:val="28"/>
        </w:rPr>
        <w:t>публики Карелия до 2030 года, ретроспективной динамики инвестиционных показателей за ряд лет, а также с учетом фактических данных, сложившихся в 2024 году и по итогам 1 полугодия 2025 года.</w:t>
      </w:r>
    </w:p>
    <w:p w:rsidR="00513C81" w:rsidRPr="00D94F32" w:rsidRDefault="00D94F32">
      <w:pPr>
        <w:widowControl w:val="0"/>
        <w:ind w:firstLine="567"/>
        <w:jc w:val="both"/>
        <w:rPr>
          <w:sz w:val="28"/>
          <w:szCs w:val="28"/>
        </w:rPr>
      </w:pPr>
      <w:r w:rsidRPr="00D94F32">
        <w:rPr>
          <w:sz w:val="28"/>
          <w:szCs w:val="28"/>
        </w:rPr>
        <w:t>По итогам 2024 года объем инвестиций в основной капитал</w:t>
      </w:r>
      <w:r w:rsidRPr="00D94F32">
        <w:rPr>
          <w:bCs/>
          <w:sz w:val="28"/>
          <w:szCs w:val="28"/>
        </w:rPr>
        <w:t xml:space="preserve"> </w:t>
      </w:r>
      <w:r w:rsidRPr="00D94F32">
        <w:rPr>
          <w:bCs/>
          <w:sz w:val="28"/>
          <w:szCs w:val="28"/>
        </w:rPr>
        <w:t>по полному</w:t>
      </w:r>
      <w:r w:rsidRPr="00D94F32">
        <w:rPr>
          <w:bCs/>
          <w:sz w:val="28"/>
          <w:szCs w:val="28"/>
        </w:rPr>
        <w:t xml:space="preserve"> кругу организаций в Республике Карелия</w:t>
      </w:r>
      <w:r w:rsidRPr="00D94F32">
        <w:rPr>
          <w:sz w:val="28"/>
          <w:szCs w:val="28"/>
        </w:rPr>
        <w:t xml:space="preserve"> составил 103,6 млрд. руб., что в сопоставимых ценах на 7,1% ниже уровня 2023 года. </w:t>
      </w:r>
    </w:p>
    <w:p w:rsidR="00513C81" w:rsidRPr="00D94F32" w:rsidRDefault="00D94F32">
      <w:pPr>
        <w:widowControl w:val="0"/>
        <w:ind w:firstLine="567"/>
        <w:jc w:val="both"/>
        <w:rPr>
          <w:bCs/>
          <w:sz w:val="28"/>
          <w:szCs w:val="28"/>
          <w:highlight w:val="white"/>
        </w:rPr>
      </w:pPr>
      <w:r w:rsidRPr="00D94F32">
        <w:rPr>
          <w:bCs/>
          <w:sz w:val="28"/>
          <w:szCs w:val="28"/>
          <w:highlight w:val="white"/>
        </w:rPr>
        <w:t>В структуре инвестиций в основной капитал 74,6% или 77,3 млрд. руб. занимают инвестиции крупных и средних организаций.</w:t>
      </w:r>
      <w:r w:rsidRPr="00D94F32">
        <w:rPr>
          <w:sz w:val="28"/>
          <w:szCs w:val="28"/>
          <w:highlight w:val="white"/>
        </w:rPr>
        <w:t xml:space="preserve"> </w:t>
      </w:r>
      <w:r w:rsidRPr="00D94F32">
        <w:rPr>
          <w:bCs/>
          <w:sz w:val="28"/>
          <w:szCs w:val="28"/>
          <w:highlight w:val="white"/>
        </w:rPr>
        <w:t>Наибольшие объемы вложений инвестиций в основной капитал по крупным и средним организациям региона сложились по следующим видам экономической деятельности:</w:t>
      </w:r>
    </w:p>
    <w:p w:rsidR="00513C81" w:rsidRPr="00D94F32" w:rsidRDefault="00D94F32">
      <w:pPr>
        <w:widowControl w:val="0"/>
        <w:ind w:firstLine="567"/>
        <w:jc w:val="both"/>
        <w:rPr>
          <w:bCs/>
          <w:sz w:val="28"/>
          <w:szCs w:val="28"/>
          <w:highlight w:val="white"/>
        </w:rPr>
      </w:pPr>
      <w:r w:rsidRPr="00D94F32">
        <w:rPr>
          <w:bCs/>
          <w:sz w:val="28"/>
          <w:szCs w:val="28"/>
          <w:highlight w:val="white"/>
        </w:rPr>
        <w:t>- добыча полезных ископаемых – 16,37 млрд. руб. (21,2%);</w:t>
      </w:r>
    </w:p>
    <w:p w:rsidR="00513C81" w:rsidRPr="00D94F32" w:rsidRDefault="00D94F32">
      <w:pPr>
        <w:widowControl w:val="0"/>
        <w:ind w:firstLine="567"/>
        <w:jc w:val="both"/>
        <w:rPr>
          <w:bCs/>
          <w:sz w:val="28"/>
          <w:szCs w:val="28"/>
          <w:highlight w:val="white"/>
        </w:rPr>
      </w:pPr>
      <w:r w:rsidRPr="00D94F32">
        <w:rPr>
          <w:bCs/>
          <w:sz w:val="28"/>
          <w:szCs w:val="28"/>
          <w:highlight w:val="white"/>
        </w:rPr>
        <w:t xml:space="preserve">- транспортировка и хранение – 11,11 млрд. </w:t>
      </w:r>
      <w:r w:rsidRPr="00D94F32">
        <w:rPr>
          <w:bCs/>
          <w:sz w:val="28"/>
          <w:szCs w:val="28"/>
          <w:highlight w:val="white"/>
        </w:rPr>
        <w:t xml:space="preserve">руб. (14,4%); </w:t>
      </w:r>
    </w:p>
    <w:p w:rsidR="00513C81" w:rsidRPr="00D94F32" w:rsidRDefault="00D94F32">
      <w:pPr>
        <w:widowControl w:val="0"/>
        <w:ind w:firstLine="567"/>
        <w:jc w:val="both"/>
        <w:rPr>
          <w:bCs/>
          <w:sz w:val="28"/>
          <w:szCs w:val="28"/>
          <w:highlight w:val="white"/>
        </w:rPr>
      </w:pPr>
      <w:r w:rsidRPr="00D94F32">
        <w:rPr>
          <w:bCs/>
          <w:sz w:val="28"/>
          <w:szCs w:val="28"/>
          <w:highlight w:val="white"/>
        </w:rPr>
        <w:t xml:space="preserve">- обеспечение электрической энергией, газом и паром; кондиционирование воздуха – 10,37 млрд. руб. (13,4%); </w:t>
      </w:r>
    </w:p>
    <w:p w:rsidR="00513C81" w:rsidRPr="00D94F32" w:rsidRDefault="00D94F32">
      <w:pPr>
        <w:widowControl w:val="0"/>
        <w:ind w:firstLine="567"/>
        <w:jc w:val="both"/>
        <w:rPr>
          <w:bCs/>
          <w:sz w:val="28"/>
          <w:szCs w:val="28"/>
          <w:highlight w:val="white"/>
        </w:rPr>
      </w:pPr>
      <w:r w:rsidRPr="00D94F32">
        <w:rPr>
          <w:bCs/>
          <w:sz w:val="28"/>
          <w:szCs w:val="28"/>
          <w:highlight w:val="white"/>
        </w:rPr>
        <w:t>- обрабатывающие производства – 10,14 млрд. руб. (13,1%);</w:t>
      </w:r>
    </w:p>
    <w:p w:rsidR="00513C81" w:rsidRPr="00D94F32" w:rsidRDefault="00D94F32">
      <w:pPr>
        <w:widowControl w:val="0"/>
        <w:ind w:firstLine="567"/>
        <w:jc w:val="both"/>
        <w:rPr>
          <w:bCs/>
          <w:sz w:val="28"/>
          <w:szCs w:val="28"/>
          <w:highlight w:val="white"/>
        </w:rPr>
      </w:pPr>
      <w:r w:rsidRPr="00D94F32">
        <w:rPr>
          <w:bCs/>
          <w:sz w:val="28"/>
          <w:szCs w:val="28"/>
          <w:highlight w:val="white"/>
        </w:rPr>
        <w:t>- сельское, лесное хозяйство, охота, рыболовство и рыбоводство - 6,07 млрд.</w:t>
      </w:r>
      <w:r w:rsidRPr="00D94F32">
        <w:rPr>
          <w:bCs/>
          <w:sz w:val="28"/>
          <w:szCs w:val="28"/>
          <w:highlight w:val="white"/>
        </w:rPr>
        <w:t xml:space="preserve"> руб. (7,9%).</w:t>
      </w:r>
    </w:p>
    <w:p w:rsidR="00513C81" w:rsidRPr="00D94F32" w:rsidRDefault="00D94F32">
      <w:pPr>
        <w:widowControl w:val="0"/>
        <w:ind w:firstLine="567"/>
        <w:jc w:val="both"/>
        <w:rPr>
          <w:rFonts w:ascii="Liberation Serif" w:eastAsia="Liberation Serif" w:hAnsi="Liberation Serif" w:cs="Liberation Serif"/>
          <w:sz w:val="28"/>
          <w:szCs w:val="28"/>
        </w:rPr>
      </w:pPr>
      <w:r w:rsidRPr="00D94F32">
        <w:rPr>
          <w:rFonts w:ascii="Liberation Serif" w:eastAsia="Liberation Serif" w:hAnsi="Liberation Serif" w:cs="Liberation Serif"/>
          <w:sz w:val="28"/>
          <w:szCs w:val="28"/>
        </w:rPr>
        <w:t>Объем инвестиций субъектов малого предпринимательства и инвестиций, не наблюдаемых прямыми статистическими методами, составил в 2024 году более 26 млрд. руб. или 25,4% в общем объеме инвестиций.</w:t>
      </w:r>
    </w:p>
    <w:p w:rsidR="00513C81" w:rsidRPr="00D94F32" w:rsidRDefault="00D94F32">
      <w:pPr>
        <w:widowControl w:val="0"/>
        <w:ind w:firstLine="567"/>
        <w:jc w:val="both"/>
        <w:rPr>
          <w:rFonts w:ascii="Liberation Serif" w:hAnsi="Liberation Serif" w:cs="Liberation Serif"/>
          <w:sz w:val="28"/>
          <w:szCs w:val="28"/>
        </w:rPr>
      </w:pPr>
      <w:r w:rsidRPr="00D94F32">
        <w:rPr>
          <w:rFonts w:ascii="Liberation Serif" w:eastAsia="Liberation Serif" w:hAnsi="Liberation Serif" w:cs="Liberation Serif"/>
          <w:sz w:val="28"/>
          <w:szCs w:val="28"/>
        </w:rPr>
        <w:t>В структуре источников финансирования инвестици</w:t>
      </w:r>
      <w:r w:rsidRPr="00D94F32">
        <w:rPr>
          <w:rFonts w:ascii="Liberation Serif" w:eastAsia="Liberation Serif" w:hAnsi="Liberation Serif" w:cs="Liberation Serif"/>
          <w:sz w:val="28"/>
          <w:szCs w:val="28"/>
        </w:rPr>
        <w:t>й в основной капитал в 2024 году сохранился приоритет собственных средств, доля которых увеличилась до 62,3% против 54,7% в 2023 году. Соответственно доля привлеченных средств снизилась относительно уровня 2023 года, на 7,6 процентных пункта, составив 37,7</w:t>
      </w:r>
      <w:r w:rsidRPr="00D94F32">
        <w:rPr>
          <w:rFonts w:ascii="Liberation Serif" w:eastAsia="Liberation Serif" w:hAnsi="Liberation Serif" w:cs="Liberation Serif"/>
          <w:sz w:val="28"/>
          <w:szCs w:val="28"/>
        </w:rPr>
        <w:t>%, в том числе доля бюджетных средств снизилась на 6,3 процентных пункта до 26,3%.</w:t>
      </w:r>
    </w:p>
    <w:p w:rsidR="00513C81" w:rsidRPr="00D94F32" w:rsidRDefault="00D94F32">
      <w:pPr>
        <w:ind w:firstLine="567"/>
        <w:jc w:val="both"/>
        <w:rPr>
          <w:rFonts w:ascii="Liberation Serif" w:hAnsi="Liberation Serif" w:cs="Liberation Serif"/>
          <w:sz w:val="28"/>
          <w:szCs w:val="28"/>
        </w:rPr>
      </w:pPr>
      <w:r w:rsidRPr="00D94F32">
        <w:rPr>
          <w:rFonts w:ascii="Liberation Serif" w:eastAsia="Liberation Serif" w:hAnsi="Liberation Serif" w:cs="Liberation Serif"/>
          <w:sz w:val="28"/>
          <w:szCs w:val="28"/>
        </w:rPr>
        <w:t>За январь-июнь 2025 года инвестиции в основной капитал по полному кругу организаций в Республике Карелия составили 42,8 млрд. руб. и выросли по сравнению с соответствующим п</w:t>
      </w:r>
      <w:r w:rsidRPr="00D94F32">
        <w:rPr>
          <w:rFonts w:ascii="Liberation Serif" w:eastAsia="Liberation Serif" w:hAnsi="Liberation Serif" w:cs="Liberation Serif"/>
          <w:sz w:val="28"/>
          <w:szCs w:val="28"/>
        </w:rPr>
        <w:t xml:space="preserve">ериодом 2024 года на 8,9 млрд. руб. или в 1,2 раза в сопоставимых ценах.  </w:t>
      </w:r>
    </w:p>
    <w:p w:rsidR="00513C81" w:rsidRPr="00D94F32" w:rsidRDefault="00D94F32">
      <w:pPr>
        <w:widowControl w:val="0"/>
        <w:ind w:firstLine="567"/>
        <w:jc w:val="both"/>
        <w:rPr>
          <w:sz w:val="28"/>
          <w:szCs w:val="28"/>
        </w:rPr>
      </w:pPr>
      <w:r w:rsidRPr="00D94F32">
        <w:rPr>
          <w:sz w:val="28"/>
          <w:szCs w:val="28"/>
        </w:rPr>
        <w:t xml:space="preserve">Инвестиции </w:t>
      </w:r>
      <w:r w:rsidRPr="00D94F32">
        <w:rPr>
          <w:bCs/>
          <w:sz w:val="28"/>
          <w:szCs w:val="28"/>
        </w:rPr>
        <w:t>крупных и средних организаций</w:t>
      </w:r>
      <w:r w:rsidRPr="00D94F32">
        <w:rPr>
          <w:sz w:val="28"/>
          <w:szCs w:val="28"/>
        </w:rPr>
        <w:t xml:space="preserve"> в </w:t>
      </w:r>
      <w:r w:rsidRPr="00D94F32">
        <w:rPr>
          <w:bCs/>
          <w:sz w:val="28"/>
          <w:szCs w:val="28"/>
        </w:rPr>
        <w:t xml:space="preserve">январе-июне 2025 года </w:t>
      </w:r>
      <w:r w:rsidRPr="00D94F32">
        <w:rPr>
          <w:bCs/>
          <w:sz w:val="28"/>
          <w:szCs w:val="28"/>
        </w:rPr>
        <w:lastRenderedPageBreak/>
        <w:t xml:space="preserve">составили 32,4 млрд. руб. и выросли по сравнению с соответствующим периодом 2024 года </w:t>
      </w:r>
      <w:r w:rsidRPr="00D94F32">
        <w:rPr>
          <w:sz w:val="28"/>
          <w:szCs w:val="28"/>
        </w:rPr>
        <w:t>на 7,1 млрд. руб. или в 1,22 р</w:t>
      </w:r>
      <w:r w:rsidRPr="00D94F32">
        <w:rPr>
          <w:sz w:val="28"/>
          <w:szCs w:val="28"/>
        </w:rPr>
        <w:t xml:space="preserve">аза в сопоставимых ценах. </w:t>
      </w:r>
    </w:p>
    <w:p w:rsidR="00513C81" w:rsidRPr="00D94F32" w:rsidRDefault="00D94F32">
      <w:pPr>
        <w:widowControl w:val="0"/>
        <w:ind w:firstLine="567"/>
        <w:jc w:val="both"/>
        <w:rPr>
          <w:sz w:val="28"/>
          <w:szCs w:val="28"/>
        </w:rPr>
      </w:pPr>
      <w:r w:rsidRPr="00D94F32">
        <w:rPr>
          <w:sz w:val="28"/>
          <w:szCs w:val="28"/>
        </w:rPr>
        <w:t>Основным источником финансирования инвестиций в основной капитал крупных и средних организаций были собственные средства, доля которых составила 71,1% всех инвестиций и увеличилась относительно уровня января-июня 2024 года на 5,2</w:t>
      </w:r>
      <w:r w:rsidRPr="00D94F32">
        <w:rPr>
          <w:sz w:val="28"/>
          <w:szCs w:val="28"/>
        </w:rPr>
        <w:t xml:space="preserve"> процентных пункта. За счёт привлечённых средств освоено 28,9% инвестиций от общего объема, из них за счёт бюджетных средств – 18,6%. </w:t>
      </w:r>
    </w:p>
    <w:p w:rsidR="00513C81" w:rsidRPr="00D94F32" w:rsidRDefault="00D94F32">
      <w:pPr>
        <w:widowControl w:val="0"/>
        <w:ind w:firstLine="567"/>
        <w:jc w:val="both"/>
        <w:rPr>
          <w:bCs/>
          <w:sz w:val="28"/>
          <w:szCs w:val="28"/>
        </w:rPr>
      </w:pPr>
      <w:r w:rsidRPr="00D94F32">
        <w:rPr>
          <w:bCs/>
          <w:sz w:val="28"/>
          <w:szCs w:val="28"/>
        </w:rPr>
        <w:t>Наибольшие объемы вложений инвестиций в основной капитал по крупным и средним организациям региона сложились по следующим</w:t>
      </w:r>
      <w:r w:rsidRPr="00D94F32">
        <w:rPr>
          <w:bCs/>
          <w:sz w:val="28"/>
          <w:szCs w:val="28"/>
        </w:rPr>
        <w:t xml:space="preserve"> видам экономической деятельности:</w:t>
      </w:r>
    </w:p>
    <w:p w:rsidR="00513C81" w:rsidRPr="00D94F32" w:rsidRDefault="00D94F32">
      <w:pPr>
        <w:widowControl w:val="0"/>
        <w:ind w:firstLine="567"/>
        <w:jc w:val="both"/>
        <w:rPr>
          <w:bCs/>
          <w:sz w:val="28"/>
          <w:szCs w:val="28"/>
        </w:rPr>
      </w:pPr>
      <w:r w:rsidRPr="00D94F32">
        <w:rPr>
          <w:bCs/>
          <w:sz w:val="28"/>
          <w:szCs w:val="28"/>
        </w:rPr>
        <w:t>- добыча полезных ископаемых – 8,92 млрд. руб. (27,5%);</w:t>
      </w:r>
    </w:p>
    <w:p w:rsidR="00513C81" w:rsidRPr="00D94F32" w:rsidRDefault="00D94F32">
      <w:pPr>
        <w:widowControl w:val="0"/>
        <w:ind w:firstLine="567"/>
        <w:jc w:val="both"/>
        <w:rPr>
          <w:bCs/>
          <w:sz w:val="28"/>
          <w:szCs w:val="28"/>
        </w:rPr>
      </w:pPr>
      <w:r w:rsidRPr="00D94F32">
        <w:rPr>
          <w:bCs/>
          <w:sz w:val="28"/>
          <w:szCs w:val="28"/>
        </w:rPr>
        <w:t>- обрабатывающие производства – 7,31 млрд. руб. (22,6%).</w:t>
      </w:r>
    </w:p>
    <w:p w:rsidR="00513C81" w:rsidRPr="00D94F32" w:rsidRDefault="00D94F32">
      <w:pPr>
        <w:widowControl w:val="0"/>
        <w:ind w:firstLine="567"/>
        <w:jc w:val="both"/>
        <w:rPr>
          <w:sz w:val="28"/>
          <w:szCs w:val="28"/>
        </w:rPr>
      </w:pPr>
      <w:r w:rsidRPr="00D94F32">
        <w:rPr>
          <w:bCs/>
          <w:sz w:val="28"/>
          <w:szCs w:val="28"/>
        </w:rPr>
        <w:t>- транспортировка и хранение – 4,21 млрд. руб. (13,0%);</w:t>
      </w:r>
    </w:p>
    <w:p w:rsidR="00513C81" w:rsidRPr="00D94F32" w:rsidRDefault="00D94F32">
      <w:pPr>
        <w:widowControl w:val="0"/>
        <w:ind w:firstLine="567"/>
        <w:jc w:val="both"/>
        <w:rPr>
          <w:bCs/>
          <w:sz w:val="28"/>
          <w:szCs w:val="28"/>
          <w:highlight w:val="white"/>
        </w:rPr>
      </w:pPr>
      <w:r w:rsidRPr="00D94F32">
        <w:rPr>
          <w:bCs/>
          <w:sz w:val="28"/>
          <w:szCs w:val="28"/>
        </w:rPr>
        <w:t xml:space="preserve"> </w:t>
      </w:r>
      <w:r w:rsidRPr="00D94F32">
        <w:rPr>
          <w:bCs/>
          <w:sz w:val="28"/>
          <w:szCs w:val="28"/>
          <w:highlight w:val="white"/>
        </w:rPr>
        <w:t>- обеспечение электрической энергией, газом и паром</w:t>
      </w:r>
      <w:r w:rsidRPr="00D94F32">
        <w:rPr>
          <w:bCs/>
          <w:sz w:val="28"/>
          <w:szCs w:val="28"/>
          <w:highlight w:val="white"/>
        </w:rPr>
        <w:t xml:space="preserve">; кондиционирование воздуха – 2,38 млрд. руб. (7,3%); </w:t>
      </w:r>
    </w:p>
    <w:p w:rsidR="00513C81" w:rsidRPr="00D94F32" w:rsidRDefault="00D94F32">
      <w:pPr>
        <w:widowControl w:val="0"/>
        <w:ind w:firstLine="567"/>
        <w:jc w:val="both"/>
        <w:rPr>
          <w:bCs/>
          <w:sz w:val="28"/>
          <w:szCs w:val="28"/>
        </w:rPr>
      </w:pPr>
      <w:r w:rsidRPr="00D94F32">
        <w:rPr>
          <w:bCs/>
          <w:sz w:val="28"/>
          <w:szCs w:val="28"/>
        </w:rPr>
        <w:t>- сельское, лесное хозяйство, охота, рыболовство и рыбоводство – 2,33 млрд. руб. (7,2%).</w:t>
      </w:r>
    </w:p>
    <w:p w:rsidR="00513C81" w:rsidRPr="00D94F32" w:rsidRDefault="00D94F32">
      <w:pPr>
        <w:widowControl w:val="0"/>
        <w:ind w:firstLine="567"/>
        <w:jc w:val="both"/>
        <w:rPr>
          <w:sz w:val="28"/>
          <w:szCs w:val="28"/>
        </w:rPr>
      </w:pPr>
      <w:r w:rsidRPr="00D94F32">
        <w:rPr>
          <w:sz w:val="28"/>
          <w:szCs w:val="28"/>
        </w:rPr>
        <w:t>Объем инвестиций субъектов малого предпринимательства и инвестиций, не наблюдаемых прямыми статистическими метод</w:t>
      </w:r>
      <w:r w:rsidRPr="00D94F32">
        <w:rPr>
          <w:sz w:val="28"/>
          <w:szCs w:val="28"/>
        </w:rPr>
        <w:t xml:space="preserve">ами, в </w:t>
      </w:r>
      <w:r w:rsidRPr="00D94F32">
        <w:rPr>
          <w:bCs/>
          <w:sz w:val="28"/>
          <w:szCs w:val="28"/>
        </w:rPr>
        <w:t xml:space="preserve">январе-июне 2025 года составил </w:t>
      </w:r>
      <w:r w:rsidRPr="00D94F32">
        <w:rPr>
          <w:bCs/>
          <w:sz w:val="28"/>
          <w:szCs w:val="28"/>
        </w:rPr>
        <w:t xml:space="preserve">10,4 млрд. руб. и увеличился по сравнению с соответствующим периодом 2024 года </w:t>
      </w:r>
      <w:r w:rsidRPr="00D94F32">
        <w:rPr>
          <w:sz w:val="28"/>
          <w:szCs w:val="28"/>
        </w:rPr>
        <w:t>на 1,8 млрд. руб. или на 16% в сопоставимых ценах.</w:t>
      </w:r>
    </w:p>
    <w:p w:rsidR="00513C81" w:rsidRPr="00D94F32" w:rsidRDefault="00D94F32">
      <w:pPr>
        <w:widowControl w:val="0"/>
        <w:ind w:firstLine="567"/>
        <w:jc w:val="both"/>
        <w:rPr>
          <w:sz w:val="28"/>
          <w:szCs w:val="28"/>
        </w:rPr>
      </w:pPr>
      <w:r w:rsidRPr="00D94F32">
        <w:rPr>
          <w:sz w:val="28"/>
          <w:szCs w:val="28"/>
        </w:rPr>
        <w:t>В целом, по итогам 2025 года объем инвестиций в основной капитал</w:t>
      </w:r>
      <w:r w:rsidRPr="00D94F32">
        <w:rPr>
          <w:bCs/>
          <w:sz w:val="28"/>
          <w:szCs w:val="28"/>
        </w:rPr>
        <w:t xml:space="preserve"> по полному кругу организаций в Республике Карелия оцениваются</w:t>
      </w:r>
      <w:r w:rsidRPr="00D94F32">
        <w:rPr>
          <w:sz w:val="28"/>
          <w:szCs w:val="28"/>
        </w:rPr>
        <w:t xml:space="preserve"> </w:t>
      </w:r>
      <w:r w:rsidRPr="00D94F32">
        <w:rPr>
          <w:bCs/>
          <w:sz w:val="28"/>
          <w:szCs w:val="28"/>
        </w:rPr>
        <w:t>в размере 105,9 млрд. рублей, что в сопоставимых ценах составляет 95,0% к уровню 2024 года.</w:t>
      </w:r>
    </w:p>
    <w:p w:rsidR="00513C81" w:rsidRPr="00D94F32" w:rsidRDefault="00D94F32">
      <w:pPr>
        <w:widowControl w:val="0"/>
        <w:ind w:firstLine="567"/>
        <w:jc w:val="both"/>
        <w:rPr>
          <w:sz w:val="28"/>
          <w:szCs w:val="28"/>
        </w:rPr>
      </w:pPr>
      <w:r w:rsidRPr="00D94F32">
        <w:rPr>
          <w:sz w:val="28"/>
          <w:szCs w:val="28"/>
        </w:rPr>
        <w:t>Основной объем капитальных вложений в 2025 году будут формировать крупные инвестиционные проекты, реа</w:t>
      </w:r>
      <w:r w:rsidRPr="00D94F32">
        <w:rPr>
          <w:sz w:val="28"/>
          <w:szCs w:val="28"/>
        </w:rPr>
        <w:t>лизуемые предприятиями на территории Республики Карелия, такие как:</w:t>
      </w:r>
    </w:p>
    <w:p w:rsidR="00513C81" w:rsidRPr="00D94F32" w:rsidRDefault="00D94F32">
      <w:pPr>
        <w:widowControl w:val="0"/>
        <w:ind w:firstLine="567"/>
        <w:jc w:val="both"/>
        <w:rPr>
          <w:sz w:val="28"/>
          <w:szCs w:val="28"/>
        </w:rPr>
      </w:pPr>
      <w:r w:rsidRPr="00D94F32">
        <w:rPr>
          <w:sz w:val="28"/>
          <w:szCs w:val="28"/>
        </w:rPr>
        <w:t>- модернизация производства и обновление основных фондов на предприятии АО «Карельский окатыш» (12,7 млрд. руб.);</w:t>
      </w:r>
    </w:p>
    <w:p w:rsidR="00513C81" w:rsidRPr="00D94F32" w:rsidRDefault="00D94F32">
      <w:pPr>
        <w:widowControl w:val="0"/>
        <w:ind w:firstLine="567"/>
        <w:jc w:val="both"/>
        <w:rPr>
          <w:sz w:val="28"/>
          <w:szCs w:val="28"/>
        </w:rPr>
      </w:pPr>
      <w:r w:rsidRPr="00D94F32">
        <w:rPr>
          <w:sz w:val="28"/>
          <w:szCs w:val="28"/>
        </w:rPr>
        <w:t>- проект по модернизации производства АО «Сегежский ЦБК» (1,9 млрд. руб.);</w:t>
      </w:r>
    </w:p>
    <w:p w:rsidR="00513C81" w:rsidRPr="00D94F32" w:rsidRDefault="00D94F32">
      <w:pPr>
        <w:widowControl w:val="0"/>
        <w:ind w:firstLine="567"/>
        <w:jc w:val="both"/>
        <w:rPr>
          <w:sz w:val="28"/>
          <w:szCs w:val="28"/>
        </w:rPr>
      </w:pPr>
      <w:r w:rsidRPr="00D94F32">
        <w:rPr>
          <w:sz w:val="28"/>
          <w:szCs w:val="28"/>
        </w:rPr>
        <w:t>- проект глубокой модернизации завода АО «Онежский судостроительно-судоремонтный завод» (1,4 млрд. руб.);</w:t>
      </w:r>
    </w:p>
    <w:p w:rsidR="00513C81" w:rsidRPr="00D94F32" w:rsidRDefault="00D94F32">
      <w:pPr>
        <w:widowControl w:val="0"/>
        <w:ind w:firstLine="567"/>
        <w:jc w:val="both"/>
        <w:rPr>
          <w:sz w:val="28"/>
          <w:szCs w:val="28"/>
        </w:rPr>
      </w:pPr>
      <w:r w:rsidRPr="00D94F32">
        <w:rPr>
          <w:sz w:val="28"/>
          <w:szCs w:val="28"/>
        </w:rPr>
        <w:t>- проект по модернизации и реконструкции производственных мощностей по переработке древесины в Суоярвском и Медвежьегорском муниципальных округах Рес</w:t>
      </w:r>
      <w:r w:rsidRPr="00D94F32">
        <w:rPr>
          <w:sz w:val="28"/>
          <w:szCs w:val="28"/>
        </w:rPr>
        <w:t>публики Карелия в условиях долгосрочной аренды лесных участков ООО «Форест-Тревел» (1,3 млрд. руб.);</w:t>
      </w:r>
    </w:p>
    <w:p w:rsidR="00513C81" w:rsidRPr="00D94F32" w:rsidRDefault="00D94F32">
      <w:pPr>
        <w:widowControl w:val="0"/>
        <w:ind w:firstLine="567"/>
        <w:jc w:val="both"/>
        <w:rPr>
          <w:sz w:val="28"/>
          <w:szCs w:val="28"/>
        </w:rPr>
      </w:pPr>
      <w:r w:rsidRPr="00D94F32">
        <w:rPr>
          <w:sz w:val="28"/>
          <w:szCs w:val="28"/>
        </w:rPr>
        <w:t xml:space="preserve">- </w:t>
      </w:r>
      <w:r w:rsidRPr="00D94F32">
        <w:rPr>
          <w:sz w:val="28"/>
          <w:szCs w:val="28"/>
        </w:rPr>
        <w:t>проект по модернизации древесно-подготовительного цеха Кондопожского целлюлозно-бумажного комбината АО «Кондопожский ЦБК» (0,8 млрд. руб.);</w:t>
      </w:r>
    </w:p>
    <w:p w:rsidR="00513C81" w:rsidRPr="00D94F32" w:rsidRDefault="00D94F32">
      <w:pPr>
        <w:ind w:firstLine="567"/>
        <w:jc w:val="both"/>
        <w:rPr>
          <w:sz w:val="28"/>
          <w:szCs w:val="28"/>
        </w:rPr>
      </w:pPr>
      <w:r w:rsidRPr="00D94F32">
        <w:rPr>
          <w:sz w:val="28"/>
          <w:szCs w:val="28"/>
        </w:rPr>
        <w:t>- проект по о</w:t>
      </w:r>
      <w:r w:rsidRPr="00D94F32">
        <w:rPr>
          <w:sz w:val="28"/>
          <w:szCs w:val="28"/>
        </w:rPr>
        <w:t>рганизации производства рыбных кормов в Республике Карелия ООО «РусФиш» (0,8 млрд. руб.);</w:t>
      </w:r>
    </w:p>
    <w:p w:rsidR="00513C81" w:rsidRPr="00D94F32" w:rsidRDefault="00D94F32">
      <w:pPr>
        <w:ind w:firstLine="567"/>
        <w:jc w:val="both"/>
        <w:rPr>
          <w:sz w:val="28"/>
          <w:szCs w:val="28"/>
        </w:rPr>
      </w:pPr>
      <w:r w:rsidRPr="00D94F32">
        <w:rPr>
          <w:sz w:val="28"/>
          <w:szCs w:val="28"/>
        </w:rPr>
        <w:t>- проект по строительству нового щебеночного завода ООО «Биоэн Трейд» (0,7 млрд. руб.);</w:t>
      </w:r>
    </w:p>
    <w:p w:rsidR="00513C81" w:rsidRPr="00D94F32" w:rsidRDefault="00D94F32">
      <w:pPr>
        <w:ind w:firstLine="567"/>
        <w:jc w:val="both"/>
        <w:rPr>
          <w:sz w:val="28"/>
          <w:szCs w:val="28"/>
        </w:rPr>
      </w:pPr>
      <w:r w:rsidRPr="00D94F32">
        <w:rPr>
          <w:sz w:val="28"/>
          <w:szCs w:val="28"/>
        </w:rPr>
        <w:lastRenderedPageBreak/>
        <w:t>- проект по строительству лесопильного завода ООО «Русский Лесной Альянс» (0,3</w:t>
      </w:r>
      <w:r w:rsidRPr="00D94F32">
        <w:rPr>
          <w:sz w:val="28"/>
          <w:szCs w:val="28"/>
        </w:rPr>
        <w:t xml:space="preserve"> млрд. руб.);</w:t>
      </w:r>
    </w:p>
    <w:p w:rsidR="00513C81" w:rsidRPr="00D94F32" w:rsidRDefault="00D94F32">
      <w:pPr>
        <w:ind w:firstLine="709"/>
        <w:jc w:val="both"/>
        <w:rPr>
          <w:sz w:val="28"/>
          <w:szCs w:val="28"/>
        </w:rPr>
      </w:pPr>
      <w:r w:rsidRPr="00D94F32">
        <w:rPr>
          <w:sz w:val="28"/>
          <w:szCs w:val="28"/>
        </w:rPr>
        <w:t>- развитие инфраструктуры и обновление основных фондов АО «РЖД», Октябрьская железная дорога (10,0 млрд. руб.);</w:t>
      </w:r>
    </w:p>
    <w:p w:rsidR="00513C81" w:rsidRPr="00D94F32" w:rsidRDefault="00D94F32">
      <w:pPr>
        <w:ind w:firstLine="709"/>
        <w:jc w:val="both"/>
        <w:rPr>
          <w:sz w:val="28"/>
          <w:szCs w:val="28"/>
        </w:rPr>
      </w:pPr>
      <w:r w:rsidRPr="00D94F32">
        <w:rPr>
          <w:sz w:val="28"/>
          <w:szCs w:val="28"/>
        </w:rPr>
        <w:t>- реализация инвестиционных программ предприятиями энергетики, теплоснабжения и водоснабжения (5,5 млрд. руб.);</w:t>
      </w:r>
    </w:p>
    <w:p w:rsidR="00513C81" w:rsidRPr="00D94F32" w:rsidRDefault="00D94F32">
      <w:pPr>
        <w:ind w:firstLine="709"/>
        <w:jc w:val="both"/>
        <w:rPr>
          <w:sz w:val="28"/>
          <w:szCs w:val="28"/>
        </w:rPr>
      </w:pPr>
      <w:r w:rsidRPr="00D94F32">
        <w:rPr>
          <w:sz w:val="28"/>
          <w:szCs w:val="28"/>
        </w:rPr>
        <w:t>- реализация прогр</w:t>
      </w:r>
      <w:r w:rsidRPr="00D94F32">
        <w:rPr>
          <w:sz w:val="28"/>
          <w:szCs w:val="28"/>
        </w:rPr>
        <w:t>аммы развития газоснабжения и газификации Республики Карелия на период 2021-2025 годов компаниями ПАО «Газпром» (3,5 млрд. руб.).</w:t>
      </w:r>
    </w:p>
    <w:p w:rsidR="00513C81" w:rsidRPr="00D94F32" w:rsidRDefault="00D94F32">
      <w:pPr>
        <w:ind w:firstLine="709"/>
        <w:jc w:val="both"/>
        <w:rPr>
          <w:sz w:val="28"/>
          <w:szCs w:val="28"/>
          <w:highlight w:val="white"/>
        </w:rPr>
      </w:pPr>
      <w:r w:rsidRPr="00D94F32">
        <w:rPr>
          <w:sz w:val="28"/>
          <w:szCs w:val="28"/>
          <w:highlight w:val="white"/>
        </w:rPr>
        <w:t xml:space="preserve">Кроме того, в 2025 году </w:t>
      </w:r>
      <w:r w:rsidRPr="00D94F32">
        <w:rPr>
          <w:sz w:val="28"/>
          <w:szCs w:val="28"/>
          <w:highlight w:val="white"/>
        </w:rPr>
        <w:t>предусмотрены</w:t>
      </w:r>
      <w:r w:rsidRPr="00D94F32">
        <w:rPr>
          <w:sz w:val="28"/>
          <w:szCs w:val="28"/>
          <w:highlight w:val="white"/>
        </w:rPr>
        <w:t xml:space="preserve"> значительные объемы финансирования из федерального и республиканского бюджетов, выделенн</w:t>
      </w:r>
      <w:r w:rsidRPr="00D94F32">
        <w:rPr>
          <w:sz w:val="28"/>
          <w:szCs w:val="28"/>
          <w:highlight w:val="white"/>
        </w:rPr>
        <w:t xml:space="preserve">ых в рамках федеральной адресной инвестиционной программы, федеральных целевых программ, </w:t>
      </w:r>
      <w:r w:rsidRPr="00D94F32">
        <w:rPr>
          <w:sz w:val="28"/>
          <w:szCs w:val="28"/>
          <w:highlight w:val="white"/>
        </w:rPr>
        <w:t>федеральных государственных программ, республиканской адресной инвестиционной программы на модернизацию, строительство объектов государственной собственности и инжене</w:t>
      </w:r>
      <w:r w:rsidRPr="00D94F32">
        <w:rPr>
          <w:sz w:val="28"/>
          <w:szCs w:val="28"/>
          <w:highlight w:val="white"/>
        </w:rPr>
        <w:t>рной инфраструктуры (6,6 млрд. руб.).</w:t>
      </w:r>
    </w:p>
    <w:p w:rsidR="00513C81" w:rsidRPr="00D94F32" w:rsidRDefault="00D94F32">
      <w:pPr>
        <w:ind w:firstLine="709"/>
        <w:jc w:val="both"/>
        <w:rPr>
          <w:rFonts w:eastAsia="Calibri"/>
          <w:sz w:val="28"/>
          <w:szCs w:val="28"/>
        </w:rPr>
      </w:pPr>
      <w:r w:rsidRPr="00D94F32">
        <w:rPr>
          <w:rFonts w:eastAsia="Calibri"/>
          <w:sz w:val="28"/>
          <w:szCs w:val="28"/>
          <w:highlight w:val="white"/>
        </w:rPr>
        <w:t>В целях привлечения инвестици</w:t>
      </w:r>
      <w:r w:rsidRPr="00D94F32">
        <w:rPr>
          <w:rFonts w:eastAsia="Calibri"/>
          <w:sz w:val="28"/>
          <w:szCs w:val="28"/>
        </w:rPr>
        <w:t>й на территории региона проводится целенаправленная работа по совершенствованию законодательства Республики Карелия и расширению мер государственного стимулирования инвестиционной деятельно</w:t>
      </w:r>
      <w:r w:rsidRPr="00D94F32">
        <w:rPr>
          <w:rFonts w:eastAsia="Calibri"/>
          <w:sz w:val="28"/>
          <w:szCs w:val="28"/>
        </w:rPr>
        <w:t>сти.</w:t>
      </w:r>
    </w:p>
    <w:p w:rsidR="00513C81" w:rsidRPr="00D94F32" w:rsidRDefault="00D94F32">
      <w:pPr>
        <w:ind w:firstLine="709"/>
        <w:jc w:val="both"/>
        <w:rPr>
          <w:rFonts w:eastAsia="Calibri"/>
          <w:sz w:val="28"/>
          <w:szCs w:val="28"/>
        </w:rPr>
      </w:pPr>
      <w:r w:rsidRPr="00D94F32">
        <w:rPr>
          <w:rFonts w:eastAsia="Calibri"/>
          <w:sz w:val="28"/>
          <w:szCs w:val="28"/>
        </w:rPr>
        <w:t>Для инвесторов введены льготные условия пользования землей и иным недвижимым имуществом, оказывается инфраструктурная поддержка с применением механизмов привлечения федерального финансирования, продолжается создание промышленных технопарков как площад</w:t>
      </w:r>
      <w:r w:rsidRPr="00D94F32">
        <w:rPr>
          <w:rFonts w:eastAsia="Calibri"/>
          <w:sz w:val="28"/>
          <w:szCs w:val="28"/>
        </w:rPr>
        <w:t>ок для развития производств на льготных для бизнеса условиях.</w:t>
      </w:r>
    </w:p>
    <w:p w:rsidR="00513C81" w:rsidRPr="00D94F32" w:rsidRDefault="00D94F32">
      <w:pPr>
        <w:ind w:firstLine="709"/>
        <w:jc w:val="both"/>
        <w:rPr>
          <w:rFonts w:eastAsia="Calibri"/>
          <w:sz w:val="28"/>
          <w:szCs w:val="28"/>
          <w:highlight w:val="white"/>
        </w:rPr>
      </w:pPr>
      <w:r w:rsidRPr="00D94F32">
        <w:rPr>
          <w:rFonts w:eastAsia="Calibri"/>
          <w:sz w:val="28"/>
          <w:szCs w:val="28"/>
          <w:highlight w:val="white"/>
        </w:rPr>
        <w:t xml:space="preserve">Инвестор, реализующий инвестиционный проект в сфере добычи и обработки камня стоимостью не менее 100 млн. рублей, в иных сферах деятельности – не менее 50 млн. рублей, может получить возмещение </w:t>
      </w:r>
      <w:r w:rsidRPr="00D94F32">
        <w:rPr>
          <w:rFonts w:eastAsia="Calibri"/>
          <w:sz w:val="28"/>
          <w:szCs w:val="28"/>
          <w:highlight w:val="white"/>
        </w:rPr>
        <w:t>затрат в объеме от 25% до 50% от суммы инвестиций в основные средства, осуществляемые в инвестиционный проект в период его реализации.</w:t>
      </w:r>
    </w:p>
    <w:p w:rsidR="00513C81" w:rsidRPr="00D94F32" w:rsidRDefault="00D94F32">
      <w:pPr>
        <w:ind w:firstLine="709"/>
        <w:jc w:val="both"/>
        <w:rPr>
          <w:rFonts w:eastAsia="Calibri"/>
          <w:sz w:val="28"/>
          <w:szCs w:val="28"/>
          <w:lang w:bidi="ru-RU"/>
        </w:rPr>
      </w:pPr>
      <w:r w:rsidRPr="00D94F32">
        <w:rPr>
          <w:rFonts w:eastAsia="Calibri"/>
          <w:sz w:val="28"/>
          <w:szCs w:val="28"/>
        </w:rPr>
        <w:t xml:space="preserve">На самых северных территориях региона успешно реализуется особая зона </w:t>
      </w:r>
      <w:r w:rsidRPr="00D94F32">
        <w:rPr>
          <w:rFonts w:eastAsia="Calibri"/>
          <w:bCs/>
          <w:sz w:val="28"/>
          <w:szCs w:val="28"/>
          <w:lang w:bidi="ru-RU"/>
        </w:rPr>
        <w:t xml:space="preserve">с преференциальным режимом </w:t>
      </w:r>
      <w:r w:rsidRPr="00D94F32">
        <w:rPr>
          <w:rFonts w:eastAsia="Calibri"/>
          <w:sz w:val="28"/>
          <w:szCs w:val="28"/>
        </w:rPr>
        <w:t>– Арктическая зона Росси</w:t>
      </w:r>
      <w:r w:rsidRPr="00D94F32">
        <w:rPr>
          <w:rFonts w:eastAsia="Calibri"/>
          <w:sz w:val="28"/>
          <w:szCs w:val="28"/>
        </w:rPr>
        <w:t xml:space="preserve">йской Федерации. </w:t>
      </w:r>
      <w:r w:rsidRPr="00D94F32">
        <w:rPr>
          <w:rFonts w:eastAsia="Calibri"/>
          <w:bCs/>
          <w:sz w:val="28"/>
          <w:szCs w:val="28"/>
          <w:lang w:bidi="ru-RU"/>
        </w:rPr>
        <w:t>По состоянию на 30.09.2025 в реестре резидентов АЗРФ зарегистрировано 77 резидентов с общим объемом инвестиций по проектам в размере 105,3 млрд. руб. и созданием более 2,5 тысяч рабочих мест.</w:t>
      </w:r>
    </w:p>
    <w:p w:rsidR="00513C81" w:rsidRPr="00D94F32" w:rsidRDefault="00D94F32">
      <w:pPr>
        <w:ind w:firstLine="709"/>
        <w:jc w:val="both"/>
        <w:rPr>
          <w:rFonts w:eastAsia="Calibri"/>
          <w:sz w:val="28"/>
          <w:szCs w:val="28"/>
        </w:rPr>
      </w:pPr>
      <w:r w:rsidRPr="00D94F32">
        <w:rPr>
          <w:rFonts w:eastAsia="Calibri"/>
          <w:sz w:val="28"/>
          <w:szCs w:val="28"/>
        </w:rPr>
        <w:t>В Карелии применяется практика заключения и реа</w:t>
      </w:r>
      <w:r w:rsidRPr="00D94F32">
        <w:rPr>
          <w:rFonts w:eastAsia="Calibri"/>
          <w:sz w:val="28"/>
          <w:szCs w:val="28"/>
        </w:rPr>
        <w:t xml:space="preserve">лизации соглашений о защите и поощрении капиталовложений, специальных инвестиционных контрактов, соглашений по приоритетным инвестиционным проектам в целях развития лесного комплекса и соглашений в рамках государственно-частного партнерства. </w:t>
      </w:r>
    </w:p>
    <w:p w:rsidR="00513C81" w:rsidRPr="00D94F32" w:rsidRDefault="00D94F32">
      <w:pPr>
        <w:ind w:firstLine="709"/>
        <w:jc w:val="both"/>
        <w:rPr>
          <w:rFonts w:eastAsia="Calibri"/>
          <w:sz w:val="28"/>
          <w:szCs w:val="28"/>
        </w:rPr>
      </w:pPr>
      <w:r w:rsidRPr="00D94F32">
        <w:rPr>
          <w:rFonts w:eastAsia="Calibri"/>
          <w:sz w:val="28"/>
          <w:szCs w:val="28"/>
        </w:rPr>
        <w:t>На территории</w:t>
      </w:r>
      <w:r w:rsidRPr="00D94F32">
        <w:rPr>
          <w:rFonts w:eastAsia="Calibri"/>
          <w:sz w:val="28"/>
          <w:szCs w:val="28"/>
        </w:rPr>
        <w:t xml:space="preserve"> республики созданы и осуществляют деятельность по поддержке инвесторов региональные институты развития: акционерное общество «Корпорация развития Республики Карелия», Фонд развития промышленности Республики Карелия, Фонд «Центр поддержки экспорта Республи</w:t>
      </w:r>
      <w:r w:rsidRPr="00D94F32">
        <w:rPr>
          <w:rFonts w:eastAsia="Calibri"/>
          <w:sz w:val="28"/>
          <w:szCs w:val="28"/>
        </w:rPr>
        <w:t xml:space="preserve">ки Карелия», Фонд венчурных инвестиций Республики Карелия, автономная некоммерческая организация по развитию и поддержке предпринимательства «Центр «Мой бизнес» Республики Карелия» и Фонд по </w:t>
      </w:r>
      <w:r w:rsidRPr="00D94F32">
        <w:rPr>
          <w:rFonts w:eastAsia="Calibri"/>
          <w:sz w:val="28"/>
          <w:szCs w:val="28"/>
        </w:rPr>
        <w:lastRenderedPageBreak/>
        <w:t>содействию кредитованию субъектов малого и среднего предпринимате</w:t>
      </w:r>
      <w:r w:rsidRPr="00D94F32">
        <w:rPr>
          <w:rFonts w:eastAsia="Calibri"/>
          <w:sz w:val="28"/>
          <w:szCs w:val="28"/>
        </w:rPr>
        <w:t>льства Республики Карелия (микрокредитная компания).</w:t>
      </w:r>
    </w:p>
    <w:p w:rsidR="00513C81" w:rsidRPr="00D94F32" w:rsidRDefault="00D94F32">
      <w:pPr>
        <w:ind w:firstLine="709"/>
        <w:jc w:val="both"/>
        <w:rPr>
          <w:rFonts w:eastAsia="Calibri"/>
          <w:bCs/>
          <w:sz w:val="28"/>
          <w:szCs w:val="28"/>
          <w:lang w:bidi="ru-RU"/>
        </w:rPr>
      </w:pPr>
      <w:r w:rsidRPr="00D94F32">
        <w:rPr>
          <w:rFonts w:eastAsia="Calibri"/>
          <w:sz w:val="28"/>
          <w:szCs w:val="28"/>
        </w:rPr>
        <w:t>В Карелии</w:t>
      </w:r>
      <w:r w:rsidRPr="00D94F32">
        <w:rPr>
          <w:bCs/>
          <w:sz w:val="28"/>
          <w:szCs w:val="28"/>
          <w:lang w:bidi="ru-RU"/>
        </w:rPr>
        <w:t xml:space="preserve"> </w:t>
      </w:r>
      <w:r w:rsidRPr="00D94F32">
        <w:rPr>
          <w:rFonts w:eastAsia="Calibri"/>
          <w:bCs/>
          <w:sz w:val="28"/>
          <w:szCs w:val="28"/>
          <w:lang w:bidi="ru-RU"/>
        </w:rPr>
        <w:t>внедрены все элементы Регионального инвестиционного стандарта, позволяющие обеспечить прозрачные и понятные «правила игры» для инвесторов, сформировать благоприятные условия для ведения инвестиционной деятельности на территории региона.</w:t>
      </w:r>
    </w:p>
    <w:p w:rsidR="00513C81" w:rsidRPr="00D94F32" w:rsidRDefault="00D94F32">
      <w:pPr>
        <w:ind w:firstLine="709"/>
        <w:jc w:val="both"/>
        <w:rPr>
          <w:rFonts w:eastAsia="Calibri"/>
          <w:sz w:val="28"/>
          <w:szCs w:val="28"/>
        </w:rPr>
      </w:pPr>
      <w:r w:rsidRPr="00D94F32">
        <w:rPr>
          <w:rFonts w:eastAsia="Calibri"/>
          <w:bCs/>
          <w:sz w:val="28"/>
          <w:szCs w:val="28"/>
          <w:lang w:bidi="ru-RU"/>
        </w:rPr>
        <w:t>В</w:t>
      </w:r>
      <w:r w:rsidRPr="00D94F32">
        <w:rPr>
          <w:rFonts w:eastAsia="Calibri"/>
          <w:sz w:val="28"/>
          <w:szCs w:val="28"/>
        </w:rPr>
        <w:t>недрена и функцион</w:t>
      </w:r>
      <w:r w:rsidRPr="00D94F32">
        <w:rPr>
          <w:rFonts w:eastAsia="Calibri"/>
          <w:sz w:val="28"/>
          <w:szCs w:val="28"/>
        </w:rPr>
        <w:t>ирует электронная система взаимодействия с инвесторами, в том числе через личный кабинет на специально созданном инвестиционном портале.</w:t>
      </w:r>
    </w:p>
    <w:p w:rsidR="00513C81" w:rsidRPr="00D94F32" w:rsidRDefault="00D94F32">
      <w:pPr>
        <w:ind w:firstLine="709"/>
        <w:jc w:val="both"/>
        <w:rPr>
          <w:rFonts w:eastAsia="Calibri"/>
          <w:sz w:val="28"/>
          <w:szCs w:val="28"/>
        </w:rPr>
      </w:pPr>
      <w:r w:rsidRPr="00D94F32">
        <w:rPr>
          <w:rFonts w:eastAsia="Calibri"/>
          <w:sz w:val="28"/>
          <w:szCs w:val="28"/>
        </w:rPr>
        <w:t>С учетом проводимой работы по расширению мер государственного стимулирования инвестиционной деятельности в среднесрочно</w:t>
      </w:r>
      <w:r w:rsidRPr="00D94F32">
        <w:rPr>
          <w:rFonts w:eastAsia="Calibri"/>
          <w:sz w:val="28"/>
          <w:szCs w:val="28"/>
        </w:rPr>
        <w:t>м периоде 2026-2028 годов ежегодные темпы роста инвестиций в основной капитал в сопоставимых ценах по консервативному варианту прогнозируются на уровне 96-98%, по базовому варианту – 100,0%.</w:t>
      </w:r>
    </w:p>
    <w:p w:rsidR="00513C81" w:rsidRPr="00D94F32" w:rsidRDefault="00D94F32">
      <w:pPr>
        <w:ind w:firstLine="709"/>
        <w:jc w:val="both"/>
        <w:rPr>
          <w:rFonts w:eastAsia="Calibri"/>
          <w:sz w:val="28"/>
          <w:szCs w:val="28"/>
        </w:rPr>
      </w:pPr>
      <w:r w:rsidRPr="00D94F32">
        <w:rPr>
          <w:rFonts w:eastAsia="Calibri"/>
          <w:sz w:val="28"/>
          <w:szCs w:val="28"/>
        </w:rPr>
        <w:t>Достигнуть общего объема капитальных вложений в 2026-2028 годах п</w:t>
      </w:r>
      <w:r w:rsidRPr="00D94F32">
        <w:rPr>
          <w:rFonts w:eastAsia="Calibri"/>
          <w:sz w:val="28"/>
          <w:szCs w:val="28"/>
        </w:rPr>
        <w:t>ланируется путем реализации крупных коммерческих инвестиционных проектов и программ, таких как:</w:t>
      </w:r>
    </w:p>
    <w:p w:rsidR="00513C81" w:rsidRPr="00D94F32" w:rsidRDefault="00D94F32">
      <w:pPr>
        <w:ind w:firstLine="709"/>
        <w:jc w:val="both"/>
        <w:rPr>
          <w:sz w:val="28"/>
          <w:szCs w:val="28"/>
        </w:rPr>
      </w:pPr>
      <w:r w:rsidRPr="00D94F32">
        <w:rPr>
          <w:sz w:val="28"/>
          <w:szCs w:val="28"/>
        </w:rPr>
        <w:t>- «Строительство современной роботизированной молочной фермы мощностью 1200 голов дойного стада коров», инициатор АО «Совхоз «Ведлозерский», сроки реализации 20</w:t>
      </w:r>
      <w:r w:rsidRPr="00D94F32">
        <w:rPr>
          <w:sz w:val="28"/>
          <w:szCs w:val="28"/>
        </w:rPr>
        <w:t>23-2026</w:t>
      </w:r>
      <w:r w:rsidRPr="00D94F32">
        <w:rPr>
          <w:sz w:val="28"/>
          <w:szCs w:val="28"/>
        </w:rPr>
        <w:t xml:space="preserve"> </w:t>
      </w:r>
      <w:r w:rsidRPr="00D94F32">
        <w:rPr>
          <w:sz w:val="28"/>
          <w:szCs w:val="28"/>
        </w:rPr>
        <w:t>гг., общий объем инвестиций 2,65 млрд. руб.;</w:t>
      </w:r>
    </w:p>
    <w:p w:rsidR="00513C81" w:rsidRPr="00D94F32" w:rsidRDefault="00D94F32">
      <w:pPr>
        <w:ind w:firstLine="709"/>
        <w:jc w:val="both"/>
        <w:rPr>
          <w:sz w:val="28"/>
          <w:szCs w:val="28"/>
        </w:rPr>
      </w:pPr>
      <w:r w:rsidRPr="00D94F32">
        <w:rPr>
          <w:sz w:val="28"/>
          <w:szCs w:val="28"/>
        </w:rPr>
        <w:t>- «Строительство, реконструкция и техническое перевооружение (глубокая модернизация) производственных мощностей АО «Онежский судостроительно-судоремонтный завод», инициатор АО «Онежский судостроительно-с</w:t>
      </w:r>
      <w:r w:rsidRPr="00D94F32">
        <w:rPr>
          <w:sz w:val="28"/>
          <w:szCs w:val="28"/>
        </w:rPr>
        <w:t>удоремонтный завод», сроки реализации 2021-2025</w:t>
      </w:r>
      <w:r w:rsidRPr="00D94F32">
        <w:rPr>
          <w:sz w:val="28"/>
          <w:szCs w:val="28"/>
        </w:rPr>
        <w:t xml:space="preserve"> </w:t>
      </w:r>
      <w:r w:rsidRPr="00D94F32">
        <w:rPr>
          <w:sz w:val="28"/>
          <w:szCs w:val="28"/>
        </w:rPr>
        <w:t>гг., общий объем инвестиций 7,96 млрд. руб.;</w:t>
      </w:r>
    </w:p>
    <w:p w:rsidR="00513C81" w:rsidRPr="00D94F32" w:rsidRDefault="00D94F32">
      <w:pPr>
        <w:ind w:firstLine="709"/>
        <w:jc w:val="both"/>
        <w:rPr>
          <w:sz w:val="28"/>
          <w:szCs w:val="28"/>
        </w:rPr>
      </w:pPr>
      <w:r w:rsidRPr="00D94F32">
        <w:rPr>
          <w:sz w:val="28"/>
          <w:szCs w:val="28"/>
        </w:rPr>
        <w:t>- «Модернизация древесно-подготовительного цеха Кондопожского целлюлозно-бумажного комбината», инициатор АО «Кондопожский ЦБК», сроки реализации 2022-2028</w:t>
      </w:r>
      <w:r w:rsidRPr="00D94F32">
        <w:rPr>
          <w:sz w:val="28"/>
          <w:szCs w:val="28"/>
        </w:rPr>
        <w:t xml:space="preserve"> </w:t>
      </w:r>
      <w:r w:rsidRPr="00D94F32">
        <w:rPr>
          <w:sz w:val="28"/>
          <w:szCs w:val="28"/>
        </w:rPr>
        <w:t>гг., общий объем инвестиций 3,86 млрд. руб.;</w:t>
      </w:r>
    </w:p>
    <w:p w:rsidR="00513C81" w:rsidRPr="00D94F32" w:rsidRDefault="00D94F32">
      <w:pPr>
        <w:ind w:firstLine="709"/>
        <w:jc w:val="both"/>
        <w:rPr>
          <w:sz w:val="28"/>
          <w:szCs w:val="28"/>
        </w:rPr>
      </w:pPr>
      <w:r w:rsidRPr="00D94F32">
        <w:rPr>
          <w:sz w:val="28"/>
          <w:szCs w:val="28"/>
        </w:rPr>
        <w:t>- «Модернизация и реконструкция производственных мощностей по переработке древесины в Суоярвском и Медвежьегорском муниципальных округах Республики Карелия в условиях долгосрочной аренды лесных участков», инициа</w:t>
      </w:r>
      <w:r w:rsidRPr="00D94F32">
        <w:rPr>
          <w:sz w:val="28"/>
          <w:szCs w:val="28"/>
        </w:rPr>
        <w:t>тор ООО «Форест-Тревел», сроки реализации 2020-2027</w:t>
      </w:r>
      <w:r w:rsidRPr="00D94F32">
        <w:rPr>
          <w:sz w:val="28"/>
          <w:szCs w:val="28"/>
        </w:rPr>
        <w:t xml:space="preserve"> </w:t>
      </w:r>
      <w:r w:rsidRPr="00D94F32">
        <w:rPr>
          <w:sz w:val="28"/>
          <w:szCs w:val="28"/>
        </w:rPr>
        <w:t>гг., общий объем инвестиций 2,10 млрд. руб.;</w:t>
      </w:r>
    </w:p>
    <w:p w:rsidR="00513C81" w:rsidRPr="00D94F32" w:rsidRDefault="00D94F32">
      <w:pPr>
        <w:ind w:firstLine="709"/>
        <w:jc w:val="both"/>
        <w:rPr>
          <w:sz w:val="28"/>
          <w:szCs w:val="28"/>
        </w:rPr>
      </w:pPr>
      <w:r w:rsidRPr="00D94F32">
        <w:rPr>
          <w:sz w:val="28"/>
          <w:szCs w:val="28"/>
        </w:rPr>
        <w:t>- «Строительство лесопильного завода», инициатор ООО «Русский Лесной Альянс», сроки реализации 2022-2029</w:t>
      </w:r>
      <w:r w:rsidRPr="00D94F32">
        <w:rPr>
          <w:sz w:val="28"/>
          <w:szCs w:val="28"/>
        </w:rPr>
        <w:t xml:space="preserve"> </w:t>
      </w:r>
      <w:r w:rsidRPr="00D94F32">
        <w:rPr>
          <w:sz w:val="28"/>
          <w:szCs w:val="28"/>
        </w:rPr>
        <w:t>гг., общий объем инвестиций 1,68 млрд. руб.;</w:t>
      </w:r>
    </w:p>
    <w:p w:rsidR="00513C81" w:rsidRPr="00D94F32" w:rsidRDefault="00D94F32">
      <w:pPr>
        <w:pStyle w:val="afff4"/>
        <w:numPr>
          <w:ilvl w:val="0"/>
          <w:numId w:val="1"/>
        </w:numPr>
        <w:spacing w:line="240" w:lineRule="auto"/>
        <w:ind w:left="0" w:firstLine="709"/>
        <w:jc w:val="both"/>
        <w:rPr>
          <w:rFonts w:eastAsia="Times New Roman"/>
          <w:sz w:val="28"/>
          <w:szCs w:val="28"/>
          <w:lang w:eastAsia="ru-RU"/>
        </w:rPr>
      </w:pPr>
      <w:r w:rsidRPr="00D94F32">
        <w:rPr>
          <w:rFonts w:eastAsia="Times New Roman"/>
          <w:sz w:val="28"/>
          <w:szCs w:val="28"/>
          <w:lang w:eastAsia="ru-RU"/>
        </w:rPr>
        <w:t>«Организа</w:t>
      </w:r>
      <w:r w:rsidRPr="00D94F32">
        <w:rPr>
          <w:rFonts w:eastAsia="Times New Roman"/>
          <w:sz w:val="28"/>
          <w:szCs w:val="28"/>
          <w:lang w:eastAsia="ru-RU"/>
        </w:rPr>
        <w:t>ция камнеобрабатывающего производства», инициатор ООО «Биоэн Недра», сроки реализации 2025-2028</w:t>
      </w:r>
      <w:r w:rsidRPr="00D94F32">
        <w:rPr>
          <w:rFonts w:eastAsia="Times New Roman"/>
          <w:sz w:val="28"/>
          <w:szCs w:val="28"/>
        </w:rPr>
        <w:t xml:space="preserve"> </w:t>
      </w:r>
      <w:r w:rsidRPr="00D94F32">
        <w:rPr>
          <w:rFonts w:eastAsia="Times New Roman"/>
          <w:sz w:val="28"/>
          <w:szCs w:val="28"/>
          <w:lang w:eastAsia="ru-RU"/>
        </w:rPr>
        <w:t>гг., общий объем инвестиций 0,51 млрд. руб.;</w:t>
      </w:r>
    </w:p>
    <w:p w:rsidR="00513C81" w:rsidRPr="00D94F32" w:rsidRDefault="00D94F32">
      <w:pPr>
        <w:ind w:firstLine="709"/>
        <w:jc w:val="both"/>
        <w:rPr>
          <w:sz w:val="28"/>
          <w:szCs w:val="28"/>
        </w:rPr>
      </w:pPr>
      <w:r w:rsidRPr="00D94F32">
        <w:rPr>
          <w:sz w:val="28"/>
          <w:szCs w:val="28"/>
        </w:rPr>
        <w:t>- «Строительство горнолыжного рекреационного бальнеологического курорта «Спасская Губа», инициатор ООО «Горнолыжный</w:t>
      </w:r>
      <w:r w:rsidRPr="00D94F32">
        <w:rPr>
          <w:sz w:val="28"/>
          <w:szCs w:val="28"/>
        </w:rPr>
        <w:t xml:space="preserve"> рекреационный бальнеологический курорт «Спасская губа», сроки реализации 2024-2031гг., общий объем инвестиций 10,86 млрд. руб.;</w:t>
      </w:r>
    </w:p>
    <w:p w:rsidR="00513C81" w:rsidRPr="00D94F32" w:rsidRDefault="00D94F32">
      <w:pPr>
        <w:ind w:firstLine="709"/>
        <w:jc w:val="both"/>
        <w:rPr>
          <w:sz w:val="28"/>
          <w:szCs w:val="28"/>
        </w:rPr>
      </w:pPr>
      <w:r w:rsidRPr="00D94F32">
        <w:rPr>
          <w:sz w:val="28"/>
          <w:szCs w:val="28"/>
        </w:rPr>
        <w:t xml:space="preserve">- </w:t>
      </w:r>
      <w:r w:rsidRPr="00D94F32">
        <w:rPr>
          <w:sz w:val="28"/>
          <w:szCs w:val="28"/>
        </w:rPr>
        <w:t>«Многофункциональный курортный комплекс «Острова» в Республике Карелия», инициатор ООО «Благо», сроки реализации 2026-2035гг</w:t>
      </w:r>
      <w:r w:rsidRPr="00D94F32">
        <w:rPr>
          <w:sz w:val="28"/>
          <w:szCs w:val="28"/>
        </w:rPr>
        <w:t>., общий объем инвестиций 2,72 млрд. руб.;</w:t>
      </w:r>
    </w:p>
    <w:p w:rsidR="00513C81" w:rsidRPr="00D94F32" w:rsidRDefault="00D94F32">
      <w:pPr>
        <w:ind w:firstLine="709"/>
        <w:jc w:val="both"/>
        <w:rPr>
          <w:sz w:val="28"/>
          <w:szCs w:val="28"/>
        </w:rPr>
      </w:pPr>
      <w:r w:rsidRPr="00D94F32">
        <w:rPr>
          <w:sz w:val="28"/>
          <w:szCs w:val="28"/>
        </w:rPr>
        <w:lastRenderedPageBreak/>
        <w:t>- «Строительство туристического комплекса «Järvi club», инициатор ООО «Экопарк  «Онежская деревня», сроки реализации 2025-2029гг., общий объем инвестиций 2,40 млрд. руб.;</w:t>
      </w:r>
    </w:p>
    <w:p w:rsidR="00513C81" w:rsidRPr="00D94F32" w:rsidRDefault="00D94F32">
      <w:pPr>
        <w:ind w:firstLine="709"/>
        <w:jc w:val="both"/>
        <w:rPr>
          <w:sz w:val="28"/>
          <w:szCs w:val="28"/>
        </w:rPr>
      </w:pPr>
      <w:r w:rsidRPr="00D94F32">
        <w:rPr>
          <w:sz w:val="28"/>
          <w:szCs w:val="28"/>
        </w:rPr>
        <w:t>- «Мраморные каньоны», инициатор ООО «Торг</w:t>
      </w:r>
      <w:r w:rsidRPr="00D94F32">
        <w:rPr>
          <w:sz w:val="28"/>
          <w:szCs w:val="28"/>
        </w:rPr>
        <w:t>овый дом «Норд», сроки реализации 2024-2029 гг., общий объем инвестиций 1,50 млрд. руб.;</w:t>
      </w:r>
    </w:p>
    <w:p w:rsidR="00513C81" w:rsidRPr="00D94F32" w:rsidRDefault="00D94F32">
      <w:pPr>
        <w:ind w:firstLine="709"/>
        <w:jc w:val="both"/>
        <w:rPr>
          <w:sz w:val="28"/>
          <w:szCs w:val="28"/>
        </w:rPr>
      </w:pPr>
      <w:r w:rsidRPr="00D94F32">
        <w:rPr>
          <w:sz w:val="28"/>
          <w:szCs w:val="28"/>
        </w:rPr>
        <w:t>- «Организация производства рыбных кормов в Республике Карелия», инициатор ООО «РусФиш», сроки реализации 2025-2029</w:t>
      </w:r>
      <w:r w:rsidRPr="00D94F32">
        <w:rPr>
          <w:sz w:val="28"/>
          <w:szCs w:val="28"/>
        </w:rPr>
        <w:t xml:space="preserve"> </w:t>
      </w:r>
      <w:r w:rsidRPr="00D94F32">
        <w:rPr>
          <w:sz w:val="28"/>
          <w:szCs w:val="28"/>
        </w:rPr>
        <w:t>гг., общий объем инвестиций 1,30 млрд. руб.;</w:t>
      </w:r>
    </w:p>
    <w:p w:rsidR="00513C81" w:rsidRPr="00D94F32" w:rsidRDefault="00D94F32">
      <w:pPr>
        <w:ind w:firstLine="709"/>
        <w:jc w:val="both"/>
        <w:rPr>
          <w:sz w:val="28"/>
          <w:szCs w:val="28"/>
        </w:rPr>
      </w:pPr>
      <w:r w:rsidRPr="00D94F32">
        <w:rPr>
          <w:sz w:val="28"/>
          <w:szCs w:val="28"/>
        </w:rPr>
        <w:t>- проч</w:t>
      </w:r>
      <w:r w:rsidRPr="00D94F32">
        <w:rPr>
          <w:sz w:val="28"/>
          <w:szCs w:val="28"/>
        </w:rPr>
        <w:t>их коммерческих инвестиционных проектов (средние и малые проекты с объемом капитальных вложений до 300-500 млн. руб.) и программ обновления основных фондов организаций;</w:t>
      </w:r>
    </w:p>
    <w:p w:rsidR="00513C81" w:rsidRPr="00D94F32" w:rsidRDefault="00D94F32">
      <w:pPr>
        <w:ind w:firstLine="709"/>
        <w:jc w:val="both"/>
        <w:rPr>
          <w:sz w:val="28"/>
          <w:szCs w:val="28"/>
        </w:rPr>
      </w:pPr>
      <w:r w:rsidRPr="00D94F32">
        <w:rPr>
          <w:sz w:val="28"/>
          <w:szCs w:val="28"/>
        </w:rPr>
        <w:t>- федеральной целевой программы развития Республики Карелия на период до 2030 года, фед</w:t>
      </w:r>
      <w:r w:rsidRPr="00D94F32">
        <w:rPr>
          <w:sz w:val="28"/>
          <w:szCs w:val="28"/>
        </w:rPr>
        <w:t xml:space="preserve">еральной адресной инвестиционной программы, федеральных целевых программ, </w:t>
      </w:r>
      <w:r w:rsidRPr="00D94F32">
        <w:rPr>
          <w:sz w:val="28"/>
          <w:szCs w:val="28"/>
        </w:rPr>
        <w:t>федеральных государственных программ, федеральных субсидий, средств публично-правовой компании «Фонд развития территорий», республиканской адресной инвестиционной программы.</w:t>
      </w:r>
    </w:p>
    <w:p w:rsidR="00513C81" w:rsidRPr="00D94F32" w:rsidRDefault="00D94F32">
      <w:pPr>
        <w:ind w:firstLine="709"/>
        <w:jc w:val="both"/>
        <w:rPr>
          <w:sz w:val="28"/>
          <w:szCs w:val="28"/>
        </w:rPr>
      </w:pPr>
      <w:r w:rsidRPr="00D94F32">
        <w:rPr>
          <w:sz w:val="28"/>
          <w:szCs w:val="28"/>
        </w:rPr>
        <w:t>Достижению параметров прогноза по инвестициям на 2026-2028 годы будет способствовать развитие промышленных технопарков, территорий опережающего развития и территорий муниципальных образований Республики Карелия, отнесенных к Арктической зоне Российской Фед</w:t>
      </w:r>
      <w:r w:rsidRPr="00D94F32">
        <w:rPr>
          <w:sz w:val="28"/>
          <w:szCs w:val="28"/>
        </w:rPr>
        <w:t>ерации.</w:t>
      </w:r>
    </w:p>
    <w:p w:rsidR="00513C81" w:rsidRPr="00D94F32" w:rsidRDefault="00D94F32">
      <w:pPr>
        <w:ind w:firstLine="709"/>
        <w:jc w:val="both"/>
        <w:rPr>
          <w:sz w:val="28"/>
          <w:szCs w:val="28"/>
        </w:rPr>
      </w:pPr>
      <w:r w:rsidRPr="00D94F32">
        <w:rPr>
          <w:sz w:val="28"/>
          <w:szCs w:val="28"/>
        </w:rPr>
        <w:t xml:space="preserve">Одним из сдерживающих факторов дальнейшего развития республики является снижение численности населения. </w:t>
      </w:r>
      <w:r w:rsidRPr="00D94F32">
        <w:rPr>
          <w:b/>
          <w:sz w:val="28"/>
          <w:szCs w:val="28"/>
        </w:rPr>
        <w:t>Демографическая политика</w:t>
      </w:r>
      <w:r w:rsidRPr="00D94F32">
        <w:rPr>
          <w:sz w:val="28"/>
          <w:szCs w:val="28"/>
        </w:rPr>
        <w:t xml:space="preserve">, проводимая </w:t>
      </w:r>
      <w:r w:rsidRPr="00D94F32">
        <w:rPr>
          <w:sz w:val="28"/>
          <w:szCs w:val="28"/>
        </w:rPr>
        <w:t xml:space="preserve">Правительством Республики Карелия, направлена на улучшение демографической ситуации, в том числе </w:t>
      </w:r>
      <w:r w:rsidRPr="00D94F32">
        <w:rPr>
          <w:sz w:val="28"/>
          <w:szCs w:val="28"/>
        </w:rPr>
        <w:t>на созда</w:t>
      </w:r>
      <w:r w:rsidRPr="00D94F32">
        <w:rPr>
          <w:sz w:val="28"/>
          <w:szCs w:val="28"/>
        </w:rPr>
        <w:t>ние условий для укрепления здоровья населения республики и повышения продолжительности жизни.</w:t>
      </w:r>
    </w:p>
    <w:p w:rsidR="00513C81" w:rsidRPr="00D94F32" w:rsidRDefault="00D94F32">
      <w:pPr>
        <w:widowControl w:val="0"/>
        <w:ind w:firstLine="567"/>
        <w:jc w:val="both"/>
        <w:rPr>
          <w:sz w:val="28"/>
          <w:szCs w:val="28"/>
        </w:rPr>
      </w:pPr>
      <w:r w:rsidRPr="00D94F32">
        <w:rPr>
          <w:sz w:val="28"/>
          <w:szCs w:val="28"/>
        </w:rPr>
        <w:t>В 2024 году проводились мероприятия плана на 2021-2025 годы по реализации в Республике Карелия Концепции демографической политики Российской Федерации на период д</w:t>
      </w:r>
      <w:r w:rsidRPr="00D94F32">
        <w:rPr>
          <w:sz w:val="28"/>
          <w:szCs w:val="28"/>
        </w:rPr>
        <w:t>о 2025 года, которые направлены на снижение предотвратимых причин смертности; снижение материнской и младенческой смертности, улучшение репродуктивного здоровья; формирование мотивации к здоровому образу жизни, занятию физкультурой и спортом.</w:t>
      </w:r>
    </w:p>
    <w:p w:rsidR="00513C81" w:rsidRPr="00D94F32" w:rsidRDefault="00D94F32">
      <w:pPr>
        <w:widowControl w:val="0"/>
        <w:ind w:firstLine="567"/>
        <w:jc w:val="both"/>
        <w:rPr>
          <w:sz w:val="28"/>
          <w:szCs w:val="28"/>
        </w:rPr>
      </w:pPr>
      <w:r w:rsidRPr="00D94F32">
        <w:rPr>
          <w:sz w:val="28"/>
          <w:szCs w:val="28"/>
        </w:rPr>
        <w:t>Однако, несмо</w:t>
      </w:r>
      <w:r w:rsidRPr="00D94F32">
        <w:rPr>
          <w:sz w:val="28"/>
          <w:szCs w:val="28"/>
        </w:rPr>
        <w:t>тря на принимаемые Правительством Республики Карелия меры, демографическая ситуация в республике остается сложной. На протяжении ряда лет ситуация в республике характеризуется естественной убылью населения, в результате чего происходит сокращение общей чис</w:t>
      </w:r>
      <w:r w:rsidRPr="00D94F32">
        <w:rPr>
          <w:sz w:val="28"/>
          <w:szCs w:val="28"/>
        </w:rPr>
        <w:t>ленности жителей республики, в том числе и женского населения. Кроме того, в последние годы ситуацию осложняет вхождение в репродуктивный возраст поколения 90-х годов XX столетия, которое по численности меньше поколения 80-х годов.</w:t>
      </w:r>
    </w:p>
    <w:p w:rsidR="00513C81" w:rsidRPr="00D94F32" w:rsidRDefault="00D94F32">
      <w:pPr>
        <w:widowControl w:val="0"/>
        <w:ind w:firstLine="567"/>
        <w:jc w:val="both"/>
        <w:rPr>
          <w:sz w:val="28"/>
          <w:szCs w:val="28"/>
        </w:rPr>
      </w:pPr>
      <w:r w:rsidRPr="00D94F32">
        <w:rPr>
          <w:sz w:val="28"/>
          <w:szCs w:val="28"/>
        </w:rPr>
        <w:t xml:space="preserve">По данным Карелиястата  </w:t>
      </w:r>
      <w:r w:rsidRPr="00D94F32">
        <w:rPr>
          <w:sz w:val="28"/>
          <w:szCs w:val="28"/>
        </w:rPr>
        <w:t xml:space="preserve">численность населения Республики Карелия на 1 января 2025 года составила 519 тыс.человек и уменьшилась по сравнению с 1 января 2024 года  на 4,9 тыс.человек. </w:t>
      </w:r>
    </w:p>
    <w:p w:rsidR="00513C81" w:rsidRPr="00D94F32" w:rsidRDefault="00D94F32">
      <w:pPr>
        <w:widowControl w:val="0"/>
        <w:ind w:firstLine="567"/>
        <w:jc w:val="both"/>
        <w:rPr>
          <w:sz w:val="28"/>
          <w:szCs w:val="28"/>
        </w:rPr>
      </w:pPr>
      <w:r w:rsidRPr="00D94F32">
        <w:rPr>
          <w:sz w:val="28"/>
          <w:szCs w:val="28"/>
        </w:rPr>
        <w:t>В 2024 году в республике продолжились процессы депопуляции населения: число умерших в 2,2 раза</w:t>
      </w:r>
      <w:r w:rsidRPr="00D94F32">
        <w:rPr>
          <w:rFonts w:eastAsia="Calibri"/>
          <w:sz w:val="28"/>
          <w:szCs w:val="28"/>
          <w:lang w:eastAsia="en-US"/>
        </w:rPr>
        <w:t xml:space="preserve"> </w:t>
      </w:r>
      <w:r w:rsidRPr="00D94F32">
        <w:rPr>
          <w:sz w:val="28"/>
          <w:szCs w:val="28"/>
        </w:rPr>
        <w:t>пр</w:t>
      </w:r>
      <w:r w:rsidRPr="00D94F32">
        <w:rPr>
          <w:sz w:val="28"/>
          <w:szCs w:val="28"/>
        </w:rPr>
        <w:t>евысило число родившихся</w:t>
      </w:r>
      <w:r w:rsidRPr="00D94F32">
        <w:rPr>
          <w:rFonts w:eastAsia="Calibri"/>
          <w:sz w:val="28"/>
          <w:szCs w:val="28"/>
          <w:lang w:eastAsia="en-US"/>
        </w:rPr>
        <w:t>. Е</w:t>
      </w:r>
      <w:r w:rsidRPr="00D94F32">
        <w:rPr>
          <w:sz w:val="28"/>
          <w:szCs w:val="28"/>
        </w:rPr>
        <w:t xml:space="preserve">стественная убыль населения увеличилась по сравнению с 2023 годом на 406 человека и составила 4845 человек. В 2024 году по сравнению с 2023 годом </w:t>
      </w:r>
      <w:r w:rsidRPr="00D94F32">
        <w:rPr>
          <w:sz w:val="28"/>
          <w:szCs w:val="28"/>
        </w:rPr>
        <w:lastRenderedPageBreak/>
        <w:t xml:space="preserve">численность родившихся снизилась на 231 человек, численность умерших увеличилась </w:t>
      </w:r>
      <w:r w:rsidRPr="00D94F32">
        <w:rPr>
          <w:sz w:val="28"/>
          <w:szCs w:val="28"/>
        </w:rPr>
        <w:t>н</w:t>
      </w:r>
      <w:r w:rsidRPr="00D94F32">
        <w:rPr>
          <w:sz w:val="28"/>
          <w:szCs w:val="28"/>
        </w:rPr>
        <w:t>а 175 человек. Коэффициент рождаемости за 2024 год составил 7,7 родившихся на 1000 человек населения (2023 г. – 8,1), коэффициент общей смертности населения – 17 случаев на 1000 населения (2023 г. – 16,5). Соответственно коэффициент естественной убыли сост</w:t>
      </w:r>
      <w:r w:rsidRPr="00D94F32">
        <w:rPr>
          <w:sz w:val="28"/>
          <w:szCs w:val="28"/>
        </w:rPr>
        <w:t>авил ( - 9,3 ) на 1000 человек населения (2023 г. –  (-8,4)).</w:t>
      </w:r>
    </w:p>
    <w:p w:rsidR="00513C81" w:rsidRPr="00D94F32" w:rsidRDefault="00D94F32">
      <w:pPr>
        <w:widowControl w:val="0"/>
        <w:ind w:firstLine="567"/>
        <w:jc w:val="both"/>
        <w:rPr>
          <w:sz w:val="28"/>
          <w:szCs w:val="28"/>
        </w:rPr>
      </w:pPr>
      <w:r w:rsidRPr="00D94F32">
        <w:rPr>
          <w:sz w:val="28"/>
          <w:szCs w:val="28"/>
        </w:rPr>
        <w:t xml:space="preserve">Суммарный коэффициент рождаемости в Республике Карелия за 2024 год составил 1,499 детей на женщину репродуктивного возраста, что ниже уровня 2023 года (1,534). При этом </w:t>
      </w:r>
      <w:r w:rsidRPr="00D94F32">
        <w:rPr>
          <w:sz w:val="28"/>
          <w:szCs w:val="28"/>
        </w:rPr>
        <w:t>суммарный коэффициент ро</w:t>
      </w:r>
      <w:r w:rsidRPr="00D94F32">
        <w:rPr>
          <w:sz w:val="28"/>
          <w:szCs w:val="28"/>
        </w:rPr>
        <w:t>ждаемости в Республике Карелия превысил среднее значение по Российской Федерации (1,4) и по Северо-Западному федеральному округу (1,23). По 2025 году суммарный коэффициент рождаемости оценивается в 1,500.</w:t>
      </w:r>
    </w:p>
    <w:p w:rsidR="00513C81" w:rsidRPr="00D94F32" w:rsidRDefault="00D94F32">
      <w:pPr>
        <w:widowControl w:val="0"/>
        <w:ind w:firstLine="567"/>
        <w:jc w:val="both"/>
        <w:rPr>
          <w:sz w:val="28"/>
          <w:szCs w:val="28"/>
        </w:rPr>
      </w:pPr>
      <w:r w:rsidRPr="00D94F32">
        <w:rPr>
          <w:sz w:val="28"/>
          <w:szCs w:val="28"/>
        </w:rPr>
        <w:t>Ожидаемая продолжительность жизни при рождении в Ре</w:t>
      </w:r>
      <w:r w:rsidRPr="00D94F32">
        <w:rPr>
          <w:sz w:val="28"/>
          <w:szCs w:val="28"/>
        </w:rPr>
        <w:t xml:space="preserve">спублике Карелия снизилась с 69,75 лет в 2023 году до 69,02 лет в 2024 году. </w:t>
      </w:r>
    </w:p>
    <w:p w:rsidR="00513C81" w:rsidRPr="00D94F32" w:rsidRDefault="00D94F32">
      <w:pPr>
        <w:widowControl w:val="0"/>
        <w:ind w:firstLine="567"/>
        <w:jc w:val="both"/>
        <w:rPr>
          <w:sz w:val="28"/>
          <w:szCs w:val="28"/>
        </w:rPr>
      </w:pPr>
      <w:r w:rsidRPr="00D94F32">
        <w:rPr>
          <w:sz w:val="28"/>
          <w:szCs w:val="28"/>
        </w:rPr>
        <w:t>В 2024 году в структуре причин смертности наибольшую долю занимают болезни системы кровообращения – 47,3 % (в 2023 году – 50 %) от общего числа умерших, новообразования – 14,1% (</w:t>
      </w:r>
      <w:r w:rsidRPr="00D94F32">
        <w:rPr>
          <w:sz w:val="28"/>
          <w:szCs w:val="28"/>
        </w:rPr>
        <w:t>в 2023 году – 15 %), внешние причины – 7,6 % (в 2023 году – 8,3 %)</w:t>
      </w:r>
    </w:p>
    <w:p w:rsidR="00513C81" w:rsidRPr="00D94F32" w:rsidRDefault="00D94F32">
      <w:pPr>
        <w:widowControl w:val="0"/>
        <w:ind w:firstLine="567"/>
        <w:jc w:val="both"/>
        <w:rPr>
          <w:sz w:val="28"/>
          <w:szCs w:val="28"/>
        </w:rPr>
      </w:pPr>
      <w:r w:rsidRPr="00D94F32">
        <w:rPr>
          <w:sz w:val="28"/>
          <w:szCs w:val="28"/>
        </w:rPr>
        <w:t>Одной из причин сокращения численности населения Республики Карелия до 2022 года являлась миграция. С 2022 года в республике наблюдался миграционный прирост населения (в 2022 году - 797 чел</w:t>
      </w:r>
      <w:r w:rsidRPr="00D94F32">
        <w:rPr>
          <w:sz w:val="28"/>
          <w:szCs w:val="28"/>
        </w:rPr>
        <w:t>овек, в 2023  году – 415 человек). В 2024 году миграционная убыль населения возобновилась и составила 61 человек.</w:t>
      </w:r>
    </w:p>
    <w:p w:rsidR="00513C81" w:rsidRPr="00D94F32" w:rsidRDefault="00D94F32">
      <w:pPr>
        <w:widowControl w:val="0"/>
        <w:ind w:firstLine="567"/>
        <w:jc w:val="both"/>
        <w:rPr>
          <w:sz w:val="28"/>
          <w:szCs w:val="28"/>
        </w:rPr>
      </w:pPr>
      <w:r w:rsidRPr="00D94F32">
        <w:rPr>
          <w:sz w:val="28"/>
          <w:szCs w:val="28"/>
        </w:rPr>
        <w:t xml:space="preserve">По 2025 году коэффициент рождаемости оценивается 7,6 родившихся на 1000 человек населения, с увеличением </w:t>
      </w:r>
      <w:r w:rsidRPr="00D94F32">
        <w:rPr>
          <w:sz w:val="28"/>
          <w:szCs w:val="28"/>
        </w:rPr>
        <w:t>его к 2028 году до 7,8 по базовому в</w:t>
      </w:r>
      <w:r w:rsidRPr="00D94F32">
        <w:rPr>
          <w:sz w:val="28"/>
          <w:szCs w:val="28"/>
        </w:rPr>
        <w:t xml:space="preserve">арианту. </w:t>
      </w:r>
    </w:p>
    <w:p w:rsidR="00513C81" w:rsidRPr="00D94F32" w:rsidRDefault="00D94F32">
      <w:pPr>
        <w:ind w:firstLine="709"/>
        <w:jc w:val="both"/>
        <w:rPr>
          <w:sz w:val="28"/>
          <w:szCs w:val="28"/>
        </w:rPr>
      </w:pPr>
      <w:r w:rsidRPr="00D94F32">
        <w:rPr>
          <w:sz w:val="28"/>
          <w:szCs w:val="28"/>
        </w:rPr>
        <w:t>В целях улучшения демографической ситуации планируется продолжение реализации программ, планов и комплексов мер по развитию инфраструктуры здравоохранения, в том числе поддержки материнства и рождаемости.</w:t>
      </w:r>
    </w:p>
    <w:p w:rsidR="00513C81" w:rsidRPr="00D94F32" w:rsidRDefault="00D94F32">
      <w:pPr>
        <w:ind w:firstLine="709"/>
        <w:jc w:val="both"/>
        <w:rPr>
          <w:sz w:val="28"/>
          <w:szCs w:val="28"/>
        </w:rPr>
      </w:pPr>
      <w:r w:rsidRPr="00D94F32">
        <w:rPr>
          <w:sz w:val="28"/>
          <w:szCs w:val="28"/>
        </w:rPr>
        <w:t>В сфере социальной защиты населения основ</w:t>
      </w:r>
      <w:r w:rsidRPr="00D94F32">
        <w:rPr>
          <w:sz w:val="28"/>
          <w:szCs w:val="28"/>
        </w:rPr>
        <w:t xml:space="preserve">ными региональными мерами социальной поддержки, направленными на увеличение рождаемости, являются: </w:t>
      </w:r>
    </w:p>
    <w:p w:rsidR="00513C81" w:rsidRPr="00D94F32" w:rsidRDefault="00D94F32">
      <w:pPr>
        <w:ind w:firstLine="709"/>
        <w:jc w:val="both"/>
        <w:rPr>
          <w:sz w:val="28"/>
          <w:szCs w:val="28"/>
        </w:rPr>
      </w:pPr>
      <w:r w:rsidRPr="00D94F32">
        <w:rPr>
          <w:sz w:val="28"/>
          <w:szCs w:val="28"/>
        </w:rPr>
        <w:t>- предоставление регионального материнского (семейного) капитала (предоставляется семьям при рождении (усыновлении) третьего, четвертого ребенка или последу</w:t>
      </w:r>
      <w:r w:rsidRPr="00D94F32">
        <w:rPr>
          <w:sz w:val="28"/>
          <w:szCs w:val="28"/>
        </w:rPr>
        <w:t>ющих детей);</w:t>
      </w:r>
    </w:p>
    <w:p w:rsidR="00513C81" w:rsidRPr="00D94F32" w:rsidRDefault="00D94F32">
      <w:pPr>
        <w:ind w:firstLine="709"/>
        <w:jc w:val="both"/>
        <w:rPr>
          <w:sz w:val="28"/>
          <w:szCs w:val="28"/>
        </w:rPr>
      </w:pPr>
      <w:r w:rsidRPr="00D94F32">
        <w:rPr>
          <w:sz w:val="28"/>
          <w:szCs w:val="28"/>
        </w:rPr>
        <w:t>- предоставление ежемесячной денежной выплаты малообеспеченным семьям в случае рождения после 31 декабря 2012 года третьего ребенка или последующих детей до достижения ребенком возраста трех лет.</w:t>
      </w:r>
    </w:p>
    <w:p w:rsidR="00513C81" w:rsidRPr="00D94F32" w:rsidRDefault="00D94F32">
      <w:pPr>
        <w:ind w:firstLine="709"/>
        <w:jc w:val="both"/>
        <w:rPr>
          <w:sz w:val="28"/>
          <w:szCs w:val="28"/>
        </w:rPr>
      </w:pPr>
      <w:r w:rsidRPr="00D94F32">
        <w:rPr>
          <w:sz w:val="28"/>
          <w:szCs w:val="28"/>
        </w:rPr>
        <w:t>В Республике Карелия действует региональная программа «Повышение рождаемости в Республике Карелия». Целью данной программы является выработка эффективных мер, влияющих на репродуктивное поведение населения и повышение общего числа рождений. В состав програ</w:t>
      </w:r>
      <w:r w:rsidRPr="00D94F32">
        <w:rPr>
          <w:sz w:val="28"/>
          <w:szCs w:val="28"/>
        </w:rPr>
        <w:t>ммы включены мероприятия, финансируемые как за счет средств бюджета Республики Карелия, так и средств Фонда обязательного медицинского страхования.</w:t>
      </w:r>
    </w:p>
    <w:p w:rsidR="00513C81" w:rsidRPr="00D94F32" w:rsidRDefault="00D94F32">
      <w:pPr>
        <w:ind w:firstLine="709"/>
        <w:jc w:val="both"/>
        <w:rPr>
          <w:sz w:val="28"/>
          <w:szCs w:val="28"/>
        </w:rPr>
      </w:pPr>
      <w:r w:rsidRPr="00D94F32">
        <w:rPr>
          <w:sz w:val="28"/>
          <w:szCs w:val="28"/>
        </w:rPr>
        <w:lastRenderedPageBreak/>
        <w:t>Комплекс мер, направленных на повышение рождаемости в Республике Карелия, включает мероприятия, направленные</w:t>
      </w:r>
      <w:r w:rsidRPr="00D94F32">
        <w:rPr>
          <w:sz w:val="28"/>
          <w:szCs w:val="28"/>
        </w:rPr>
        <w:t xml:space="preserve"> на укрепление репродуктивного здоровья и сокращение числа абортов, </w:t>
      </w:r>
      <w:r w:rsidRPr="00D94F32">
        <w:rPr>
          <w:sz w:val="28"/>
          <w:szCs w:val="28"/>
        </w:rPr>
        <w:t xml:space="preserve">поддержку семей с детьми, </w:t>
      </w:r>
      <w:r w:rsidRPr="00D94F32">
        <w:rPr>
          <w:sz w:val="28"/>
          <w:szCs w:val="28"/>
        </w:rPr>
        <w:t>формирование ценностной основы повышения рождаемости.</w:t>
      </w:r>
    </w:p>
    <w:p w:rsidR="00513C81" w:rsidRPr="00D94F32" w:rsidRDefault="00D94F32">
      <w:pPr>
        <w:widowControl w:val="0"/>
        <w:ind w:firstLine="567"/>
        <w:jc w:val="both"/>
        <w:rPr>
          <w:sz w:val="28"/>
          <w:szCs w:val="28"/>
        </w:rPr>
      </w:pPr>
      <w:bookmarkStart w:id="2" w:name="100029"/>
      <w:bookmarkStart w:id="3" w:name="100028"/>
      <w:bookmarkEnd w:id="2"/>
      <w:bookmarkEnd w:id="3"/>
      <w:r w:rsidRPr="00D94F32">
        <w:rPr>
          <w:sz w:val="28"/>
          <w:szCs w:val="28"/>
        </w:rPr>
        <w:t>По 2025 году коэффициент смертности оценивается на уровне 16,7 промиллей.</w:t>
      </w:r>
    </w:p>
    <w:p w:rsidR="00513C81" w:rsidRPr="00D94F32" w:rsidRDefault="00D94F32">
      <w:pPr>
        <w:widowControl w:val="0"/>
        <w:ind w:firstLine="567"/>
        <w:jc w:val="both"/>
        <w:rPr>
          <w:sz w:val="28"/>
          <w:szCs w:val="28"/>
        </w:rPr>
      </w:pPr>
      <w:r w:rsidRPr="00D94F32">
        <w:rPr>
          <w:sz w:val="28"/>
          <w:szCs w:val="28"/>
        </w:rPr>
        <w:t>В целях снижения предотвратимой</w:t>
      </w:r>
      <w:r w:rsidRPr="00D94F32">
        <w:rPr>
          <w:sz w:val="28"/>
          <w:szCs w:val="28"/>
        </w:rPr>
        <w:t xml:space="preserve"> смертности и увеличения ожидаемой продолжительности жизни в Республике Карелия реализуется комплекс мер, направленный на снижение смертности населения в трудоспособном возрасте и возрасте старше трудоспособного, прежде всего от причин, которые вносят знач</w:t>
      </w:r>
      <w:r w:rsidRPr="00D94F32">
        <w:rPr>
          <w:sz w:val="28"/>
          <w:szCs w:val="28"/>
        </w:rPr>
        <w:t xml:space="preserve">ительный вклад в общую смертность населения – от болезней системы кровообращения и злокачественных новообразований. Кроме того, значительное внимание уделяется развитию профилактического направления и повышению выявляемости заболеваний на ранних стадиях. </w:t>
      </w:r>
    </w:p>
    <w:p w:rsidR="00513C81" w:rsidRPr="00D94F32" w:rsidRDefault="00D94F32">
      <w:pPr>
        <w:ind w:firstLine="709"/>
        <w:jc w:val="both"/>
        <w:rPr>
          <w:sz w:val="28"/>
          <w:szCs w:val="28"/>
        </w:rPr>
      </w:pPr>
      <w:r w:rsidRPr="00D94F32">
        <w:rPr>
          <w:sz w:val="28"/>
          <w:szCs w:val="28"/>
        </w:rPr>
        <w:t>Основные итоги деятельности здравоохранения Республики Карелия в 2024  году:</w:t>
      </w:r>
    </w:p>
    <w:p w:rsidR="00513C81" w:rsidRPr="00D94F32" w:rsidRDefault="00D94F32">
      <w:pPr>
        <w:ind w:firstLine="709"/>
        <w:jc w:val="both"/>
        <w:rPr>
          <w:sz w:val="28"/>
          <w:szCs w:val="28"/>
        </w:rPr>
      </w:pPr>
      <w:r w:rsidRPr="00D94F32">
        <w:rPr>
          <w:sz w:val="28"/>
          <w:szCs w:val="28"/>
        </w:rPr>
        <w:t>- начат прием пациентов в новом здании врачебной амбулатории в микрорайоне Соломенное в г. Петрозаводске, а также организована работа в новых помещениях ГБУЗ «Бюро судебно-медицин</w:t>
      </w:r>
      <w:r w:rsidRPr="00D94F32">
        <w:rPr>
          <w:sz w:val="28"/>
          <w:szCs w:val="28"/>
        </w:rPr>
        <w:t>ской экспертизы»;</w:t>
      </w:r>
    </w:p>
    <w:p w:rsidR="00513C81" w:rsidRPr="00D94F32" w:rsidRDefault="00D94F32">
      <w:pPr>
        <w:ind w:firstLine="709"/>
        <w:jc w:val="both"/>
        <w:rPr>
          <w:sz w:val="28"/>
          <w:szCs w:val="28"/>
        </w:rPr>
      </w:pPr>
      <w:r w:rsidRPr="00D94F32">
        <w:rPr>
          <w:sz w:val="28"/>
          <w:szCs w:val="28"/>
        </w:rPr>
        <w:t>- завершены строительные работы на объекте «Реконструкция нежилых помещений, расположенных на 1 и 2 этажах здания № 7 по проезду Монтажников в  г.Сегеже под детскую поликлинику. 1 этап»;</w:t>
      </w:r>
    </w:p>
    <w:p w:rsidR="00513C81" w:rsidRPr="00D94F32" w:rsidRDefault="00D94F32">
      <w:pPr>
        <w:ind w:firstLine="709"/>
        <w:jc w:val="both"/>
        <w:rPr>
          <w:sz w:val="28"/>
          <w:szCs w:val="28"/>
        </w:rPr>
      </w:pPr>
      <w:r w:rsidRPr="00D94F32">
        <w:rPr>
          <w:sz w:val="28"/>
          <w:szCs w:val="28"/>
        </w:rPr>
        <w:t>- проведены капитальные ремонты на 10 объектах здра</w:t>
      </w:r>
      <w:r w:rsidRPr="00D94F32">
        <w:rPr>
          <w:sz w:val="28"/>
          <w:szCs w:val="28"/>
        </w:rPr>
        <w:t>воохранения в 6 государственных учреждениях здравоохранения (10 млн. руб.);</w:t>
      </w:r>
    </w:p>
    <w:p w:rsidR="00513C81" w:rsidRPr="00D94F32" w:rsidRDefault="00D94F32">
      <w:pPr>
        <w:ind w:firstLine="709"/>
        <w:jc w:val="both"/>
        <w:rPr>
          <w:sz w:val="28"/>
          <w:szCs w:val="28"/>
        </w:rPr>
      </w:pPr>
      <w:r w:rsidRPr="00D94F32">
        <w:rPr>
          <w:sz w:val="28"/>
          <w:szCs w:val="28"/>
        </w:rPr>
        <w:t>- отремонтированы фасады исторического здания поликлиники ГБУЗ «Госпиталь для ветеранов войн»;</w:t>
      </w:r>
    </w:p>
    <w:p w:rsidR="00513C81" w:rsidRPr="00D94F32" w:rsidRDefault="00D94F32">
      <w:pPr>
        <w:ind w:firstLine="709"/>
        <w:jc w:val="both"/>
        <w:rPr>
          <w:sz w:val="28"/>
          <w:szCs w:val="28"/>
        </w:rPr>
      </w:pPr>
      <w:r w:rsidRPr="00D94F32">
        <w:rPr>
          <w:sz w:val="28"/>
          <w:szCs w:val="28"/>
        </w:rPr>
        <w:t xml:space="preserve"> - проведены ремонты входной зоны и холла здания, в котором располагается ГБУЗ «Респу</w:t>
      </w:r>
      <w:r w:rsidRPr="00D94F32">
        <w:rPr>
          <w:sz w:val="28"/>
          <w:szCs w:val="28"/>
        </w:rPr>
        <w:t xml:space="preserve">бликанский противотуберкулезный диспансер»; </w:t>
      </w:r>
    </w:p>
    <w:p w:rsidR="00513C81" w:rsidRPr="00D94F32" w:rsidRDefault="00D94F32">
      <w:pPr>
        <w:ind w:firstLine="709"/>
        <w:jc w:val="both"/>
        <w:rPr>
          <w:sz w:val="28"/>
          <w:szCs w:val="28"/>
        </w:rPr>
      </w:pPr>
      <w:r w:rsidRPr="00D94F32">
        <w:rPr>
          <w:sz w:val="28"/>
          <w:szCs w:val="28"/>
        </w:rPr>
        <w:t>- приобретено более 300 единиц оборудования для оснащения подразделений медицинских организаций Республики Карелия, оказывающих медицинскую помощь пациентам с сердечно-сосудистыми, онкологическими заболеваниями,</w:t>
      </w:r>
      <w:r w:rsidRPr="00D94F32">
        <w:rPr>
          <w:sz w:val="28"/>
          <w:szCs w:val="28"/>
        </w:rPr>
        <w:t xml:space="preserve"> а также по медицинской реабилитации;</w:t>
      </w:r>
    </w:p>
    <w:p w:rsidR="00513C81" w:rsidRPr="00D94F32" w:rsidRDefault="00D94F32">
      <w:pPr>
        <w:ind w:firstLine="709"/>
        <w:jc w:val="both"/>
        <w:rPr>
          <w:sz w:val="28"/>
          <w:szCs w:val="28"/>
        </w:rPr>
      </w:pPr>
      <w:r w:rsidRPr="00D94F32">
        <w:rPr>
          <w:sz w:val="28"/>
          <w:szCs w:val="28"/>
        </w:rPr>
        <w:t xml:space="preserve">- организован 5-ый в республике центр амбулаторной онкологической помощи на базе </w:t>
      </w:r>
      <w:r w:rsidRPr="00D94F32">
        <w:rPr>
          <w:sz w:val="28"/>
          <w:szCs w:val="28"/>
        </w:rPr>
        <w:t xml:space="preserve">ГБУЗ «Кондопожская центральная районная больница»; </w:t>
      </w:r>
    </w:p>
    <w:p w:rsidR="00513C81" w:rsidRPr="00D94F32" w:rsidRDefault="00D94F32">
      <w:pPr>
        <w:ind w:firstLine="709"/>
        <w:jc w:val="both"/>
        <w:rPr>
          <w:sz w:val="28"/>
          <w:szCs w:val="28"/>
        </w:rPr>
      </w:pPr>
      <w:r w:rsidRPr="00D94F32">
        <w:rPr>
          <w:sz w:val="28"/>
          <w:szCs w:val="28"/>
        </w:rPr>
        <w:t>- с применением санитарной авиации оказана медицинская помощь 244 пациентам, в том ч</w:t>
      </w:r>
      <w:r w:rsidRPr="00D94F32">
        <w:rPr>
          <w:sz w:val="28"/>
          <w:szCs w:val="28"/>
        </w:rPr>
        <w:t>исле 32 детям;</w:t>
      </w:r>
    </w:p>
    <w:p w:rsidR="00513C81" w:rsidRPr="00D94F32" w:rsidRDefault="00D94F32">
      <w:pPr>
        <w:ind w:firstLine="709"/>
        <w:jc w:val="both"/>
        <w:rPr>
          <w:sz w:val="28"/>
          <w:szCs w:val="28"/>
        </w:rPr>
      </w:pPr>
      <w:r w:rsidRPr="00D94F32">
        <w:rPr>
          <w:sz w:val="28"/>
          <w:szCs w:val="28"/>
        </w:rPr>
        <w:t>- участие в федеральной программе, направленной на борьбу с сахарным диабетом, позволило за два года оснастить</w:t>
      </w:r>
      <w:r w:rsidRPr="00D94F32">
        <w:rPr>
          <w:sz w:val="28"/>
          <w:szCs w:val="28"/>
        </w:rPr>
        <w:t xml:space="preserve"> центр «Диабет» ГБУЗ «Республиканской больницы им. В.А. Баранова» 592 единицами медицинских изделий, организовать и оснастить школ</w:t>
      </w:r>
      <w:r w:rsidRPr="00D94F32">
        <w:rPr>
          <w:sz w:val="28"/>
          <w:szCs w:val="28"/>
        </w:rPr>
        <w:t>ы для пациентов с сахарным диабетом в 14 медицинских организациях, обучить принципам управления заболеванием почти 3000 пациентов. 303 ребенка и 84 беременные, страдающие диабетом, обеспечены системами непрерывного мониторирования уровня глюкозы в крови;</w:t>
      </w:r>
    </w:p>
    <w:p w:rsidR="00513C81" w:rsidRPr="00D94F32" w:rsidRDefault="00D94F32">
      <w:pPr>
        <w:ind w:firstLine="709"/>
        <w:jc w:val="both"/>
        <w:rPr>
          <w:sz w:val="28"/>
          <w:szCs w:val="28"/>
        </w:rPr>
      </w:pPr>
      <w:r w:rsidRPr="00D94F32">
        <w:rPr>
          <w:sz w:val="28"/>
          <w:szCs w:val="28"/>
        </w:rPr>
        <w:t>-</w:t>
      </w:r>
      <w:r w:rsidRPr="00D94F32">
        <w:rPr>
          <w:sz w:val="28"/>
          <w:szCs w:val="28"/>
        </w:rPr>
        <w:t xml:space="preserve"> на реализацию мероприятий по обеспечению медицинских организаций системы здравоохранения квалифицированными кадрами направлены средства бюджета Республики Карелия в общем объеме 159,36 </w:t>
      </w:r>
      <w:r w:rsidRPr="00D94F32">
        <w:rPr>
          <w:sz w:val="28"/>
          <w:szCs w:val="28"/>
        </w:rPr>
        <w:lastRenderedPageBreak/>
        <w:t>млн.руб. На начало 2025 года по целевым договорам с медицинскими орган</w:t>
      </w:r>
      <w:r w:rsidRPr="00D94F32">
        <w:rPr>
          <w:sz w:val="28"/>
          <w:szCs w:val="28"/>
        </w:rPr>
        <w:t>изациями обучается 867 человек, в том числе в медицинских вузах – 659 человек. В дополнительных группах переподготовки на базе ГАПОУ РК «Петрозаводский базовый медицинский колледж» обучаются 259 человек. В отчетном году в учреждения здравоохранения Республ</w:t>
      </w:r>
      <w:r w:rsidRPr="00D94F32">
        <w:rPr>
          <w:sz w:val="28"/>
          <w:szCs w:val="28"/>
        </w:rPr>
        <w:t>ики Карелия трудоустроились 124 «целевика». Из других регионов в медицинские организации Республике Карелия привлечено 49 врачей и 15 средних медицинских работников;</w:t>
      </w:r>
    </w:p>
    <w:p w:rsidR="00513C81" w:rsidRPr="00D94F32" w:rsidRDefault="00D94F32">
      <w:pPr>
        <w:ind w:firstLine="709"/>
        <w:jc w:val="both"/>
        <w:rPr>
          <w:sz w:val="28"/>
          <w:szCs w:val="28"/>
        </w:rPr>
      </w:pPr>
      <w:r w:rsidRPr="00D94F32">
        <w:rPr>
          <w:sz w:val="28"/>
          <w:szCs w:val="28"/>
        </w:rPr>
        <w:t xml:space="preserve">-71,8 % граждан,  от  общей  численности населения  республики,  включая  детей,  прошли  </w:t>
      </w:r>
      <w:r w:rsidRPr="00D94F32">
        <w:rPr>
          <w:sz w:val="28"/>
          <w:szCs w:val="28"/>
        </w:rPr>
        <w:t>профилактические  медицинские осмотры  (102,6% от плана на 2024 год) (за 2023 год – 65,1%);</w:t>
      </w:r>
    </w:p>
    <w:p w:rsidR="00513C81" w:rsidRPr="00D94F32" w:rsidRDefault="00D94F32">
      <w:pPr>
        <w:ind w:firstLine="709"/>
        <w:jc w:val="both"/>
        <w:rPr>
          <w:sz w:val="28"/>
          <w:szCs w:val="28"/>
        </w:rPr>
      </w:pPr>
      <w:r w:rsidRPr="00D94F32">
        <w:rPr>
          <w:sz w:val="28"/>
          <w:szCs w:val="28"/>
        </w:rPr>
        <w:t>- высокотехнологичную медицинскую помощь получили 6,7 тыс. жителей республики.</w:t>
      </w:r>
    </w:p>
    <w:p w:rsidR="00513C81" w:rsidRPr="00D94F32" w:rsidRDefault="00D94F32">
      <w:pPr>
        <w:ind w:firstLine="709"/>
        <w:jc w:val="both"/>
        <w:rPr>
          <w:sz w:val="28"/>
          <w:szCs w:val="28"/>
        </w:rPr>
      </w:pPr>
      <w:r w:rsidRPr="00D94F32">
        <w:rPr>
          <w:sz w:val="28"/>
          <w:szCs w:val="28"/>
        </w:rPr>
        <w:t>Помимо</w:t>
      </w:r>
      <w:r w:rsidRPr="00D94F32">
        <w:rPr>
          <w:sz w:val="28"/>
          <w:szCs w:val="28"/>
        </w:rPr>
        <w:t xml:space="preserve"> </w:t>
      </w:r>
      <w:r w:rsidRPr="00D94F32">
        <w:rPr>
          <w:sz w:val="28"/>
          <w:szCs w:val="28"/>
        </w:rPr>
        <w:t>этого снижению смертности населения способствуют меры, направленные на увеличе</w:t>
      </w:r>
      <w:r w:rsidRPr="00D94F32">
        <w:rPr>
          <w:sz w:val="28"/>
          <w:szCs w:val="28"/>
        </w:rPr>
        <w:t>ние доли граждан, ведущих здоровый образ жизни, прежде всего – повышение приверженности населения к ведению здорового образа жизни, включая здоровое питание, создание условий по снижению потребления населением табачных изделий и алкоголя, развитие инфрастр</w:t>
      </w:r>
      <w:r w:rsidRPr="00D94F32">
        <w:rPr>
          <w:sz w:val="28"/>
          <w:szCs w:val="28"/>
        </w:rPr>
        <w:t xml:space="preserve">уктуры общественного здоровья, повышение обеспеченности кадрами в сфере общественного здоровья. </w:t>
      </w:r>
    </w:p>
    <w:p w:rsidR="00513C81" w:rsidRPr="00D94F32" w:rsidRDefault="00D94F32">
      <w:pPr>
        <w:ind w:firstLine="709"/>
        <w:jc w:val="both"/>
        <w:rPr>
          <w:sz w:val="28"/>
          <w:szCs w:val="28"/>
        </w:rPr>
      </w:pPr>
      <w:r w:rsidRPr="00D94F32">
        <w:rPr>
          <w:sz w:val="28"/>
          <w:szCs w:val="28"/>
        </w:rPr>
        <w:t>К концу 2024 года во всех 18 муниципальных районах/округах и городских округах разработаны и реализуются муниципальные программы укрепления общественного здоро</w:t>
      </w:r>
      <w:r w:rsidRPr="00D94F32">
        <w:rPr>
          <w:sz w:val="28"/>
          <w:szCs w:val="28"/>
        </w:rPr>
        <w:t xml:space="preserve">вья, а в 65 организациях в Республике Карелия внедрены корпоративные программы укрепления здоровья работников. </w:t>
      </w:r>
    </w:p>
    <w:p w:rsidR="00513C81" w:rsidRPr="00D94F32" w:rsidRDefault="00D94F32">
      <w:pPr>
        <w:ind w:firstLine="709"/>
        <w:jc w:val="both"/>
        <w:rPr>
          <w:sz w:val="28"/>
          <w:szCs w:val="28"/>
        </w:rPr>
      </w:pPr>
      <w:r w:rsidRPr="00D94F32">
        <w:rPr>
          <w:sz w:val="28"/>
          <w:szCs w:val="28"/>
        </w:rPr>
        <w:t xml:space="preserve">Основными приоритетными направлениями деятельности в сфере здравоохранения на 2025 год являются: </w:t>
      </w:r>
    </w:p>
    <w:p w:rsidR="00513C81" w:rsidRPr="00D94F32" w:rsidRDefault="00D94F32">
      <w:pPr>
        <w:ind w:firstLine="709"/>
        <w:jc w:val="both"/>
        <w:rPr>
          <w:sz w:val="28"/>
          <w:szCs w:val="28"/>
        </w:rPr>
      </w:pPr>
      <w:r w:rsidRPr="00D94F32">
        <w:rPr>
          <w:sz w:val="28"/>
          <w:szCs w:val="28"/>
        </w:rPr>
        <w:t>- реализация мероприятий 9 региональных состав</w:t>
      </w:r>
      <w:r w:rsidRPr="00D94F32">
        <w:rPr>
          <w:sz w:val="28"/>
          <w:szCs w:val="28"/>
        </w:rPr>
        <w:t>ляющих федеральных проектов, входящих в состав национального проекта «Продолжительная и активная жизнь», мероприятий регионального проекта «Охрана материнства и детства» в составе национального проекта «Семья», в рамках которых ведется работа по:</w:t>
      </w:r>
    </w:p>
    <w:p w:rsidR="00513C81" w:rsidRPr="00D94F32" w:rsidRDefault="00D94F32">
      <w:pPr>
        <w:ind w:firstLine="709"/>
        <w:jc w:val="both"/>
        <w:rPr>
          <w:sz w:val="28"/>
          <w:szCs w:val="28"/>
        </w:rPr>
      </w:pPr>
      <w:r w:rsidRPr="00D94F32">
        <w:rPr>
          <w:sz w:val="28"/>
          <w:szCs w:val="28"/>
        </w:rPr>
        <w:t>приобрете</w:t>
      </w:r>
      <w:r w:rsidRPr="00D94F32">
        <w:rPr>
          <w:sz w:val="28"/>
          <w:szCs w:val="28"/>
        </w:rPr>
        <w:t xml:space="preserve">нию и монтажу </w:t>
      </w:r>
      <w:r w:rsidRPr="00D94F32">
        <w:rPr>
          <w:sz w:val="28"/>
          <w:szCs w:val="28"/>
        </w:rPr>
        <w:t>модульных конструкций для размещения 17 врачебных амбулаторий и фельдшерско-акушерских пунктов,</w:t>
      </w:r>
    </w:p>
    <w:p w:rsidR="00513C81" w:rsidRPr="00D94F32" w:rsidRDefault="00D94F32">
      <w:pPr>
        <w:ind w:firstLine="709"/>
        <w:jc w:val="both"/>
        <w:rPr>
          <w:sz w:val="28"/>
          <w:szCs w:val="28"/>
        </w:rPr>
      </w:pPr>
      <w:r w:rsidRPr="00D94F32">
        <w:rPr>
          <w:sz w:val="28"/>
          <w:szCs w:val="28"/>
        </w:rPr>
        <w:t>строительству поликлиники в м-не Кукковка г. Петрозаводска для нужд ГБУЗ «Городская поликлиника № 4»,</w:t>
      </w:r>
    </w:p>
    <w:p w:rsidR="00513C81" w:rsidRPr="00D94F32" w:rsidRDefault="00D94F32">
      <w:pPr>
        <w:ind w:firstLine="709"/>
        <w:jc w:val="both"/>
        <w:rPr>
          <w:sz w:val="28"/>
          <w:szCs w:val="28"/>
        </w:rPr>
      </w:pPr>
      <w:r w:rsidRPr="00D94F32">
        <w:rPr>
          <w:sz w:val="28"/>
          <w:szCs w:val="28"/>
        </w:rPr>
        <w:t>проведению капитальных ремонтов на 58 объек</w:t>
      </w:r>
      <w:r w:rsidRPr="00D94F32">
        <w:rPr>
          <w:sz w:val="28"/>
          <w:szCs w:val="28"/>
        </w:rPr>
        <w:t>тах здравоохранения,</w:t>
      </w:r>
    </w:p>
    <w:p w:rsidR="00513C81" w:rsidRPr="00D94F32" w:rsidRDefault="00D94F32">
      <w:pPr>
        <w:ind w:firstLine="709"/>
        <w:jc w:val="both"/>
        <w:rPr>
          <w:sz w:val="28"/>
          <w:szCs w:val="28"/>
        </w:rPr>
      </w:pPr>
      <w:r w:rsidRPr="00D94F32">
        <w:rPr>
          <w:sz w:val="28"/>
          <w:szCs w:val="28"/>
        </w:rPr>
        <w:t>приобретению 222 единиц медицинского оборудования и 2 передвижных мобильных комплексов для ГБУЗ «Сортавальская центральная районная больница» и ГБУЗ «Сегежская центральная районная больница»,</w:t>
      </w:r>
    </w:p>
    <w:p w:rsidR="00513C81" w:rsidRPr="00D94F32" w:rsidRDefault="00D94F32">
      <w:pPr>
        <w:ind w:firstLine="709"/>
        <w:jc w:val="both"/>
        <w:rPr>
          <w:sz w:val="28"/>
          <w:szCs w:val="28"/>
        </w:rPr>
      </w:pPr>
      <w:r w:rsidRPr="00D94F32">
        <w:rPr>
          <w:sz w:val="28"/>
          <w:szCs w:val="28"/>
        </w:rPr>
        <w:t>закупке 91 ед. медицинских изделий для ГБУЗ «Городская поликлиника № 1», ГБУЗ «Городская поликлиника № 2», ГБУЗ «Республиканская больница им. В.А. Баранова», оказывающих населению помощь по медицинской реабилитации,</w:t>
      </w:r>
    </w:p>
    <w:p w:rsidR="00513C81" w:rsidRPr="00D94F32" w:rsidRDefault="00D94F32">
      <w:pPr>
        <w:ind w:firstLine="709"/>
        <w:jc w:val="both"/>
        <w:rPr>
          <w:sz w:val="28"/>
          <w:szCs w:val="28"/>
        </w:rPr>
      </w:pPr>
      <w:r w:rsidRPr="00D94F32">
        <w:rPr>
          <w:sz w:val="28"/>
          <w:szCs w:val="28"/>
        </w:rPr>
        <w:t>оснащению/дооснащению оборудованием Центров здоровья,</w:t>
      </w:r>
    </w:p>
    <w:p w:rsidR="00513C81" w:rsidRPr="00D94F32" w:rsidRDefault="00D94F32">
      <w:pPr>
        <w:ind w:firstLine="709"/>
        <w:jc w:val="both"/>
        <w:rPr>
          <w:sz w:val="28"/>
          <w:szCs w:val="28"/>
        </w:rPr>
      </w:pPr>
      <w:r w:rsidRPr="00D94F32">
        <w:rPr>
          <w:sz w:val="28"/>
          <w:szCs w:val="28"/>
        </w:rPr>
        <w:t>использованию санитарной авиации для оказания медицинской помощи населению в экстренной и неотложной формах,</w:t>
      </w:r>
    </w:p>
    <w:p w:rsidR="00513C81" w:rsidRPr="00D94F32" w:rsidRDefault="00D94F32">
      <w:pPr>
        <w:ind w:firstLine="709"/>
        <w:jc w:val="both"/>
        <w:rPr>
          <w:sz w:val="28"/>
          <w:szCs w:val="28"/>
        </w:rPr>
      </w:pPr>
      <w:r w:rsidRPr="00D94F32">
        <w:rPr>
          <w:sz w:val="28"/>
          <w:szCs w:val="28"/>
        </w:rPr>
        <w:lastRenderedPageBreak/>
        <w:t>обеспечению детей в возрасте от 2-х до 17-ти лет и беременных женщин с сахарным диабетом 1 ти</w:t>
      </w:r>
      <w:r w:rsidRPr="00D94F32">
        <w:rPr>
          <w:sz w:val="28"/>
          <w:szCs w:val="28"/>
        </w:rPr>
        <w:t>па системами непрерывного мониторинга глюкозы,</w:t>
      </w:r>
    </w:p>
    <w:p w:rsidR="00513C81" w:rsidRPr="00D94F32" w:rsidRDefault="00D94F32">
      <w:pPr>
        <w:ind w:firstLine="709"/>
        <w:jc w:val="both"/>
        <w:rPr>
          <w:sz w:val="28"/>
          <w:szCs w:val="28"/>
        </w:rPr>
      </w:pPr>
      <w:r w:rsidRPr="00D94F32">
        <w:rPr>
          <w:sz w:val="28"/>
          <w:szCs w:val="28"/>
        </w:rPr>
        <w:t>обеспечению медицинских организаций Республики Карелия медицинскими кадрами;</w:t>
      </w:r>
    </w:p>
    <w:p w:rsidR="00513C81" w:rsidRPr="00D94F32" w:rsidRDefault="00D94F32">
      <w:pPr>
        <w:ind w:firstLine="709"/>
        <w:jc w:val="both"/>
        <w:rPr>
          <w:sz w:val="28"/>
          <w:szCs w:val="28"/>
        </w:rPr>
      </w:pPr>
      <w:r w:rsidRPr="00D94F32">
        <w:rPr>
          <w:sz w:val="28"/>
          <w:szCs w:val="28"/>
        </w:rPr>
        <w:t xml:space="preserve">- продолжение строительных работ и работ по реконструкции </w:t>
      </w:r>
      <w:r w:rsidRPr="00D94F32">
        <w:rPr>
          <w:sz w:val="28"/>
          <w:szCs w:val="28"/>
        </w:rPr>
        <w:t>объектов здравоохранения в рамках федеральной целевой программы «Развитие</w:t>
      </w:r>
      <w:r w:rsidRPr="00D94F32">
        <w:rPr>
          <w:sz w:val="28"/>
          <w:szCs w:val="28"/>
        </w:rPr>
        <w:t xml:space="preserve"> Республики Карелия на период до 2030 года» (блоки «А» и «Б» межрайонной больницы с поликлиникой, хирургического корпуса Больницы скорой медицинской помощи);</w:t>
      </w:r>
    </w:p>
    <w:p w:rsidR="00513C81" w:rsidRPr="00D94F32" w:rsidRDefault="00D94F32">
      <w:pPr>
        <w:ind w:firstLine="709"/>
        <w:jc w:val="both"/>
        <w:rPr>
          <w:sz w:val="28"/>
          <w:szCs w:val="28"/>
        </w:rPr>
      </w:pPr>
      <w:r w:rsidRPr="00D94F32">
        <w:rPr>
          <w:sz w:val="28"/>
          <w:szCs w:val="28"/>
        </w:rPr>
        <w:t>- совершенствование и укрепление системы оказания первичной медико-санитарной помощи;</w:t>
      </w:r>
    </w:p>
    <w:p w:rsidR="00513C81" w:rsidRPr="00D94F32" w:rsidRDefault="00D94F32">
      <w:pPr>
        <w:ind w:firstLine="709"/>
        <w:jc w:val="both"/>
        <w:rPr>
          <w:sz w:val="28"/>
          <w:szCs w:val="28"/>
        </w:rPr>
      </w:pPr>
      <w:r w:rsidRPr="00D94F32">
        <w:rPr>
          <w:sz w:val="28"/>
          <w:szCs w:val="28"/>
        </w:rPr>
        <w:t>- развитие с</w:t>
      </w:r>
      <w:r w:rsidRPr="00D94F32">
        <w:rPr>
          <w:sz w:val="28"/>
          <w:szCs w:val="28"/>
        </w:rPr>
        <w:t>пециализированной, в том числе высокотехнологичной, медицинской помощи;</w:t>
      </w:r>
    </w:p>
    <w:p w:rsidR="00513C81" w:rsidRPr="00D94F32" w:rsidRDefault="00D94F32">
      <w:pPr>
        <w:ind w:firstLine="709"/>
        <w:jc w:val="both"/>
        <w:rPr>
          <w:sz w:val="28"/>
          <w:szCs w:val="28"/>
        </w:rPr>
      </w:pPr>
      <w:r w:rsidRPr="00D94F32">
        <w:rPr>
          <w:sz w:val="28"/>
          <w:szCs w:val="28"/>
        </w:rPr>
        <w:t>- усиление контроля качества оказания медицинской помощи.</w:t>
      </w:r>
    </w:p>
    <w:p w:rsidR="00513C81" w:rsidRPr="00D94F32" w:rsidRDefault="00D94F32">
      <w:pPr>
        <w:ind w:firstLine="709"/>
        <w:jc w:val="both"/>
        <w:rPr>
          <w:sz w:val="28"/>
          <w:szCs w:val="28"/>
        </w:rPr>
      </w:pPr>
      <w:r w:rsidRPr="00D94F32">
        <w:rPr>
          <w:sz w:val="28"/>
          <w:szCs w:val="28"/>
        </w:rPr>
        <w:t>С учетом сформировавшихся тенденций прогноз социально-экономического развития Республики Карелия предусматривает сокращение чи</w:t>
      </w:r>
      <w:r w:rsidRPr="00D94F32">
        <w:rPr>
          <w:sz w:val="28"/>
          <w:szCs w:val="28"/>
        </w:rPr>
        <w:t xml:space="preserve">сленности населения в среднесрочной перспективе.  </w:t>
      </w:r>
    </w:p>
    <w:p w:rsidR="00513C81" w:rsidRPr="00D94F32" w:rsidRDefault="00D94F32">
      <w:pPr>
        <w:ind w:firstLine="709"/>
        <w:jc w:val="both"/>
        <w:rPr>
          <w:sz w:val="28"/>
          <w:szCs w:val="28"/>
        </w:rPr>
      </w:pPr>
      <w:r w:rsidRPr="00D94F32">
        <w:rPr>
          <w:sz w:val="28"/>
          <w:szCs w:val="28"/>
        </w:rPr>
        <w:t>По оценкам среднегодовая численность населения в 2025 году составит 516,9 тыс. чел., с дальнейшим сокращением к 2028 году до 504,8 тыс.чел. – по консервативному варианту и до 505,8 тыс.чел. – по базовому в</w:t>
      </w:r>
      <w:r w:rsidRPr="00D94F32">
        <w:rPr>
          <w:sz w:val="28"/>
          <w:szCs w:val="28"/>
        </w:rPr>
        <w:t>арианту.</w:t>
      </w:r>
    </w:p>
    <w:p w:rsidR="00513C81" w:rsidRPr="00D94F32" w:rsidRDefault="00D94F32">
      <w:pPr>
        <w:ind w:firstLine="709"/>
        <w:jc w:val="both"/>
        <w:rPr>
          <w:sz w:val="28"/>
          <w:szCs w:val="28"/>
        </w:rPr>
      </w:pPr>
      <w:r w:rsidRPr="00D94F32">
        <w:rPr>
          <w:sz w:val="28"/>
          <w:szCs w:val="28"/>
        </w:rPr>
        <w:t>В 2025 году ожидаемая продолжительность жизни при рождении оценивается 70 лет и к 2028 году увеличится  до 71,6 лет по консервативному варианту, до 72,9 лет – по базовому варианту. На достижение данного показателя направлены мероприятия по пропага</w:t>
      </w:r>
      <w:r w:rsidRPr="00D94F32">
        <w:rPr>
          <w:sz w:val="28"/>
          <w:szCs w:val="28"/>
        </w:rPr>
        <w:t>нде здорового образа жизни, развитию физической культуры и спорта, по повышению доступности и качества медицинских услуг, расширению сферы социального обслуживания населения.</w:t>
      </w:r>
    </w:p>
    <w:p w:rsidR="00513C81" w:rsidRPr="00D94F32" w:rsidRDefault="00D94F32">
      <w:pPr>
        <w:ind w:firstLine="709"/>
        <w:jc w:val="both"/>
        <w:rPr>
          <w:sz w:val="28"/>
          <w:szCs w:val="28"/>
        </w:rPr>
      </w:pPr>
      <w:r w:rsidRPr="00D94F32">
        <w:rPr>
          <w:sz w:val="28"/>
          <w:szCs w:val="28"/>
        </w:rPr>
        <w:t xml:space="preserve"> В целях сокращения масштабов злоупотребления алкогольной продукцией, снижения ур</w:t>
      </w:r>
      <w:r w:rsidRPr="00D94F32">
        <w:rPr>
          <w:sz w:val="28"/>
          <w:szCs w:val="28"/>
        </w:rPr>
        <w:t>овня заболеваемости, инвалидности и предотвратимой смертности, связанных с потреблением алкоголя, на территории республики распоряжением Правительства Республики Карелия от 6 августа 2025 года № 860р-П утверждена комплексная программа Республики Карелия «С</w:t>
      </w:r>
      <w:r w:rsidRPr="00D94F32">
        <w:rPr>
          <w:sz w:val="28"/>
          <w:szCs w:val="28"/>
        </w:rPr>
        <w:t>окращение потребления алкоголя в Республике Карелия» до 2030 года.</w:t>
      </w:r>
    </w:p>
    <w:p w:rsidR="00513C81" w:rsidRPr="00D94F32" w:rsidRDefault="00D94F32">
      <w:pPr>
        <w:ind w:firstLine="709"/>
        <w:jc w:val="both"/>
        <w:rPr>
          <w:sz w:val="28"/>
          <w:szCs w:val="28"/>
        </w:rPr>
      </w:pPr>
      <w:r w:rsidRPr="00D94F32">
        <w:rPr>
          <w:sz w:val="28"/>
          <w:szCs w:val="28"/>
        </w:rPr>
        <w:t xml:space="preserve">На повышение ожидаемой продолжительности жизни при рождении, снижение смертности населения, увеличение рождаемости направлены мероприятия национальных проектов «Семья» и «Продолжительная и </w:t>
      </w:r>
      <w:r w:rsidRPr="00D94F32">
        <w:rPr>
          <w:sz w:val="28"/>
          <w:szCs w:val="28"/>
        </w:rPr>
        <w:t xml:space="preserve">активная жизнь» на 2025-2030 годы. </w:t>
      </w:r>
    </w:p>
    <w:p w:rsidR="00513C81" w:rsidRPr="00D94F32" w:rsidRDefault="00D94F32">
      <w:pPr>
        <w:ind w:firstLine="709"/>
        <w:jc w:val="both"/>
        <w:rPr>
          <w:sz w:val="28"/>
          <w:szCs w:val="28"/>
        </w:rPr>
      </w:pPr>
      <w:r w:rsidRPr="00D94F32">
        <w:rPr>
          <w:sz w:val="28"/>
          <w:szCs w:val="28"/>
        </w:rPr>
        <w:t>На территории Карелии будет продолжена реализация федеральных проектов по борьбе с сердечно-сосудистыми, онкологическими заболеваниями, а также с сахарным диабетом, что, в свою очередь позволит снизить заболеваемость и с</w:t>
      </w:r>
      <w:r w:rsidRPr="00D94F32">
        <w:rPr>
          <w:sz w:val="28"/>
          <w:szCs w:val="28"/>
        </w:rPr>
        <w:t>мертность населения республики от указанных причин.</w:t>
      </w:r>
    </w:p>
    <w:p w:rsidR="00513C81" w:rsidRPr="00D94F32" w:rsidRDefault="00D94F32">
      <w:pPr>
        <w:ind w:firstLine="709"/>
        <w:jc w:val="both"/>
        <w:rPr>
          <w:sz w:val="28"/>
          <w:szCs w:val="28"/>
        </w:rPr>
      </w:pPr>
      <w:r w:rsidRPr="00D94F32">
        <w:rPr>
          <w:sz w:val="28"/>
          <w:szCs w:val="28"/>
        </w:rPr>
        <w:t>В ближайшие годы продолжится работа по укреплению инфраструктуры здравоохранения, строительству медицинских учреждений, проведению капитальных ремонтов, приобретению оборудования и специализированного авт</w:t>
      </w:r>
      <w:r w:rsidRPr="00D94F32">
        <w:rPr>
          <w:sz w:val="28"/>
          <w:szCs w:val="28"/>
        </w:rPr>
        <w:t xml:space="preserve">отранспорта, в том числе для первичного звена здравоохранения. </w:t>
      </w:r>
      <w:r w:rsidRPr="00D94F32">
        <w:rPr>
          <w:sz w:val="28"/>
          <w:szCs w:val="28"/>
        </w:rPr>
        <w:lastRenderedPageBreak/>
        <w:t xml:space="preserve">Продолжится цифровизация здравоохранения республики, в том числе в части </w:t>
      </w:r>
      <w:r w:rsidRPr="00D94F32">
        <w:rPr>
          <w:sz w:val="28"/>
          <w:szCs w:val="28"/>
        </w:rPr>
        <w:t>внедрения систем на основе искусственного интеллекта.</w:t>
      </w:r>
    </w:p>
    <w:p w:rsidR="00513C81" w:rsidRPr="00D94F32" w:rsidRDefault="00D94F32">
      <w:pPr>
        <w:ind w:firstLine="709"/>
        <w:jc w:val="both"/>
        <w:rPr>
          <w:sz w:val="28"/>
          <w:szCs w:val="28"/>
        </w:rPr>
      </w:pPr>
      <w:r w:rsidRPr="00D94F32">
        <w:rPr>
          <w:sz w:val="28"/>
          <w:szCs w:val="28"/>
        </w:rPr>
        <w:t xml:space="preserve"> В числе федеральных приоритетов на ближайшую перспективу – расши</w:t>
      </w:r>
      <w:r w:rsidRPr="00D94F32">
        <w:rPr>
          <w:sz w:val="28"/>
          <w:szCs w:val="28"/>
        </w:rPr>
        <w:t>рение сети женских консультаций, а также модернизация перинатальных центров и детских поликлиник и больниц.</w:t>
      </w:r>
    </w:p>
    <w:p w:rsidR="00513C81" w:rsidRPr="00D94F32" w:rsidRDefault="00D94F32">
      <w:pPr>
        <w:widowControl w:val="0"/>
        <w:ind w:firstLine="567"/>
        <w:jc w:val="both"/>
        <w:rPr>
          <w:sz w:val="28"/>
          <w:szCs w:val="28"/>
        </w:rPr>
      </w:pPr>
      <w:r w:rsidRPr="00D94F32">
        <w:rPr>
          <w:sz w:val="28"/>
          <w:szCs w:val="28"/>
        </w:rPr>
        <w:t xml:space="preserve">Что касается </w:t>
      </w:r>
      <w:r w:rsidRPr="00D94F32">
        <w:rPr>
          <w:b/>
          <w:sz w:val="28"/>
          <w:szCs w:val="28"/>
        </w:rPr>
        <w:t>ситуации на рынке труда</w:t>
      </w:r>
      <w:r w:rsidRPr="00D94F32">
        <w:rPr>
          <w:sz w:val="28"/>
          <w:szCs w:val="28"/>
        </w:rPr>
        <w:t>, то показатели занятости и безработицы во многом определяются состоянием экономики, конкурентоспособностью выпу</w:t>
      </w:r>
      <w:r w:rsidRPr="00D94F32">
        <w:rPr>
          <w:sz w:val="28"/>
          <w:szCs w:val="28"/>
        </w:rPr>
        <w:t xml:space="preserve">скаемой продукции, созданием новых рабочих мест, а также состоянием демографических и миграционных процессов. </w:t>
      </w:r>
    </w:p>
    <w:p w:rsidR="00513C81" w:rsidRPr="00D94F32" w:rsidRDefault="00D94F32">
      <w:pPr>
        <w:widowControl w:val="0"/>
        <w:jc w:val="both"/>
        <w:rPr>
          <w:sz w:val="28"/>
          <w:szCs w:val="28"/>
        </w:rPr>
      </w:pPr>
      <w:r w:rsidRPr="00D94F32">
        <w:rPr>
          <w:sz w:val="28"/>
          <w:szCs w:val="28"/>
        </w:rPr>
        <w:t xml:space="preserve">         В 2024 году численность рабочей силы составила 254,5 тыс. чел. (в 2023 году – 259,2 тыс. человек). С учетом сохраняющихся демографически</w:t>
      </w:r>
      <w:r w:rsidRPr="00D94F32">
        <w:rPr>
          <w:sz w:val="28"/>
          <w:szCs w:val="28"/>
        </w:rPr>
        <w:t>х тенденций кадровый спрос не компенсировался скрытыми трудовыми резервами из состава потенциальной рабочей силы и безработными гражданами, число которых в течение года снижалось. В 2025 году численность рабочей силы в республике не превысит 254,3 тыс. чел</w:t>
      </w:r>
      <w:r w:rsidRPr="00D94F32">
        <w:rPr>
          <w:sz w:val="28"/>
          <w:szCs w:val="28"/>
        </w:rPr>
        <w:t>овек. С учетом демографических тенденций в перспективе не ожидается существенного роста численности рабочей силы, к 2028 году прогнозируется ее снижение до 253,4 тыс.чел. по базовому варианту.</w:t>
      </w:r>
    </w:p>
    <w:p w:rsidR="00513C81" w:rsidRPr="00D94F32" w:rsidRDefault="00D94F32">
      <w:pPr>
        <w:widowControl w:val="0"/>
        <w:ind w:firstLine="567"/>
        <w:jc w:val="both"/>
        <w:rPr>
          <w:sz w:val="28"/>
          <w:szCs w:val="28"/>
        </w:rPr>
      </w:pPr>
      <w:r w:rsidRPr="00D94F32">
        <w:rPr>
          <w:sz w:val="28"/>
          <w:szCs w:val="28"/>
        </w:rPr>
        <w:t>В 2024 году показатели безработицы в Республике Карелия достигл</w:t>
      </w:r>
      <w:r w:rsidRPr="00D94F32">
        <w:rPr>
          <w:sz w:val="28"/>
          <w:szCs w:val="28"/>
        </w:rPr>
        <w:t>и исторического минимума. Снижение безработицы связано с эффективной реализацией мер поддержки рынка труда и активизацией частной предпринимательской инициативы. По данным Карелиястат уровень безработицы по МОТ снизился на 1,1 п.п. по сравнению с показател</w:t>
      </w:r>
      <w:r w:rsidRPr="00D94F32">
        <w:rPr>
          <w:sz w:val="28"/>
          <w:szCs w:val="28"/>
        </w:rPr>
        <w:t xml:space="preserve">ем за 2023 год и составил 4,2% от рабочей силы или 10,6 тыс. человек. </w:t>
      </w:r>
    </w:p>
    <w:p w:rsidR="00513C81" w:rsidRPr="00D94F32" w:rsidRDefault="00D94F32">
      <w:pPr>
        <w:widowControl w:val="0"/>
        <w:ind w:firstLine="567"/>
        <w:jc w:val="both"/>
        <w:rPr>
          <w:sz w:val="28"/>
          <w:szCs w:val="28"/>
        </w:rPr>
      </w:pPr>
      <w:r w:rsidRPr="00D94F32">
        <w:rPr>
          <w:sz w:val="28"/>
          <w:szCs w:val="28"/>
        </w:rPr>
        <w:t>Уровень регистрируемой безработицы на конец 2024 года снизился по сравнению с началом года на 0,4 п.п. и составил 0,6% или 1,5 тыс. человек.</w:t>
      </w:r>
    </w:p>
    <w:p w:rsidR="00513C81" w:rsidRPr="00D94F32" w:rsidRDefault="00D94F32">
      <w:pPr>
        <w:widowControl w:val="0"/>
        <w:ind w:firstLine="567"/>
        <w:jc w:val="both"/>
        <w:rPr>
          <w:sz w:val="28"/>
          <w:szCs w:val="28"/>
          <w:highlight w:val="yellow"/>
        </w:rPr>
      </w:pPr>
      <w:r w:rsidRPr="00D94F32">
        <w:rPr>
          <w:sz w:val="28"/>
          <w:szCs w:val="28"/>
        </w:rPr>
        <w:t>По данным обследования рабочей силы в средне</w:t>
      </w:r>
      <w:r w:rsidRPr="00D94F32">
        <w:rPr>
          <w:sz w:val="28"/>
          <w:szCs w:val="28"/>
        </w:rPr>
        <w:t>м в апреле-июне 2025 года численность безработных граждан по МОТ составила 7,3 тыс. человек или 2,9% к численности рабочей силы (за аналогичный период прошлого года 10,8 тыс. человек или 4,2% соответственно).  По оценке в 2025 году уровень безработицы може</w:t>
      </w:r>
      <w:r w:rsidRPr="00D94F32">
        <w:rPr>
          <w:sz w:val="28"/>
          <w:szCs w:val="28"/>
        </w:rPr>
        <w:t xml:space="preserve">т составить в среднем 3,1% от рабочей силы или 8 тыс. человек. </w:t>
      </w:r>
    </w:p>
    <w:p w:rsidR="00513C81" w:rsidRPr="00D94F32" w:rsidRDefault="00D94F32">
      <w:pPr>
        <w:widowControl w:val="0"/>
        <w:ind w:firstLine="567"/>
        <w:jc w:val="both"/>
        <w:rPr>
          <w:sz w:val="28"/>
          <w:szCs w:val="28"/>
        </w:rPr>
      </w:pPr>
      <w:r w:rsidRPr="00D94F32">
        <w:rPr>
          <w:sz w:val="28"/>
          <w:szCs w:val="28"/>
        </w:rPr>
        <w:t xml:space="preserve">По состоянию на 1 июля 2025 года численность безработных граждан составила 1,7 тыс. человек, уровень зарегистрированной безработицы – 0,7%. В последующие месяцы безработица будет удерживаться </w:t>
      </w:r>
      <w:r w:rsidRPr="00D94F32">
        <w:rPr>
          <w:sz w:val="28"/>
          <w:szCs w:val="28"/>
        </w:rPr>
        <w:t>на низком уровне</w:t>
      </w:r>
      <w:r w:rsidRPr="00D94F32">
        <w:rPr>
          <w:sz w:val="28"/>
          <w:szCs w:val="28"/>
        </w:rPr>
        <w:t>.</w:t>
      </w:r>
    </w:p>
    <w:p w:rsidR="00513C81" w:rsidRPr="00D94F32" w:rsidRDefault="00D94F32">
      <w:pPr>
        <w:widowControl w:val="0"/>
        <w:ind w:firstLine="567"/>
        <w:jc w:val="both"/>
        <w:rPr>
          <w:sz w:val="28"/>
          <w:szCs w:val="28"/>
        </w:rPr>
      </w:pPr>
      <w:r w:rsidRPr="00D94F32">
        <w:rPr>
          <w:sz w:val="28"/>
          <w:szCs w:val="28"/>
        </w:rPr>
        <w:t xml:space="preserve">В текущем году для регулирования процессов на рынке труда в республике продолжится реализация мер государственной поддержки граждан в сфере занятости населения за счёт средств бюджета Республики Карелия. </w:t>
      </w:r>
    </w:p>
    <w:p w:rsidR="00513C81" w:rsidRPr="00D94F32" w:rsidRDefault="00D94F32">
      <w:pPr>
        <w:widowControl w:val="0"/>
        <w:ind w:firstLine="567"/>
        <w:jc w:val="both"/>
        <w:rPr>
          <w:sz w:val="28"/>
          <w:szCs w:val="28"/>
        </w:rPr>
      </w:pPr>
      <w:r w:rsidRPr="00D94F32">
        <w:rPr>
          <w:sz w:val="28"/>
          <w:szCs w:val="28"/>
        </w:rPr>
        <w:t>В рамках регионального проекта «А</w:t>
      </w:r>
      <w:r w:rsidRPr="00D94F32">
        <w:rPr>
          <w:sz w:val="28"/>
          <w:szCs w:val="28"/>
        </w:rPr>
        <w:t>ктивные меры содействия занятости (Республика Карелия)» национального проекта «Кадры» запускаются мероприятия по организации профессионального обучения и дополнительного профессионального образования отдельных категорий граждан по востребованным профессиям</w:t>
      </w:r>
      <w:r w:rsidRPr="00D94F32">
        <w:rPr>
          <w:sz w:val="28"/>
          <w:szCs w:val="28"/>
        </w:rPr>
        <w:t xml:space="preserve">, а также дополнительные мероприятия в сфере занятости населения, направленные на повышение мобильности трудовых ресурсов. </w:t>
      </w:r>
    </w:p>
    <w:p w:rsidR="00513C81" w:rsidRPr="00D94F32" w:rsidRDefault="00D94F32">
      <w:pPr>
        <w:widowControl w:val="0"/>
        <w:ind w:firstLine="567"/>
        <w:jc w:val="both"/>
        <w:rPr>
          <w:sz w:val="28"/>
          <w:szCs w:val="28"/>
        </w:rPr>
      </w:pPr>
      <w:r w:rsidRPr="00D94F32">
        <w:rPr>
          <w:sz w:val="28"/>
          <w:szCs w:val="28"/>
        </w:rPr>
        <w:t xml:space="preserve">В рамках регионального проекта «Образование для рынка труда (Республика Карелия)» предусматриваются мероприятия по организации </w:t>
      </w:r>
      <w:r w:rsidRPr="00D94F32">
        <w:rPr>
          <w:sz w:val="28"/>
          <w:szCs w:val="28"/>
        </w:rPr>
        <w:lastRenderedPageBreak/>
        <w:t>профе</w:t>
      </w:r>
      <w:r w:rsidRPr="00D94F32">
        <w:rPr>
          <w:sz w:val="28"/>
          <w:szCs w:val="28"/>
        </w:rPr>
        <w:t>ссионального обучения и дополнительного профессионального образование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w:t>
      </w:r>
      <w:r w:rsidRPr="00D94F32">
        <w:rPr>
          <w:sz w:val="28"/>
          <w:szCs w:val="28"/>
        </w:rPr>
        <w:t>ор с организациями оборонно-промышленного комплекса.</w:t>
      </w:r>
    </w:p>
    <w:p w:rsidR="00513C81" w:rsidRPr="00D94F32" w:rsidRDefault="00D94F32">
      <w:pPr>
        <w:widowControl w:val="0"/>
        <w:ind w:firstLine="567"/>
        <w:jc w:val="both"/>
        <w:rPr>
          <w:sz w:val="28"/>
          <w:szCs w:val="28"/>
        </w:rPr>
      </w:pPr>
      <w:r w:rsidRPr="00D94F32">
        <w:rPr>
          <w:sz w:val="28"/>
          <w:szCs w:val="28"/>
        </w:rPr>
        <w:t xml:space="preserve">Реализация национального проекта «Кадры», государственной программы Республики Карелия «Содействие занятости населения», </w:t>
      </w:r>
      <w:r w:rsidRPr="00D94F32">
        <w:rPr>
          <w:sz w:val="28"/>
          <w:szCs w:val="28"/>
        </w:rPr>
        <w:t>дорожных карт, планов социально-экономического развития муниципальных образований</w:t>
      </w:r>
      <w:r w:rsidRPr="00D94F32">
        <w:rPr>
          <w:sz w:val="28"/>
          <w:szCs w:val="28"/>
        </w:rPr>
        <w:t xml:space="preserve"> Республики Карелия поможет экономике республики адаптироваться к меняющимся условиям.</w:t>
      </w:r>
    </w:p>
    <w:p w:rsidR="00513C81" w:rsidRPr="00D94F32" w:rsidRDefault="00D94F32">
      <w:pPr>
        <w:widowControl w:val="0"/>
        <w:ind w:firstLine="567"/>
        <w:jc w:val="both"/>
        <w:rPr>
          <w:sz w:val="28"/>
          <w:szCs w:val="28"/>
        </w:rPr>
      </w:pPr>
      <w:r w:rsidRPr="00D94F32">
        <w:rPr>
          <w:sz w:val="28"/>
          <w:szCs w:val="28"/>
        </w:rPr>
        <w:t>По оценке уровень зарегистрированной безработицы на конец 2025 года сохранится на уровне 0,59 % (1,5 тыс.чел.).</w:t>
      </w:r>
    </w:p>
    <w:p w:rsidR="00513C81" w:rsidRPr="00D94F32" w:rsidRDefault="00D94F32">
      <w:pPr>
        <w:widowControl w:val="0"/>
        <w:ind w:firstLine="567"/>
        <w:jc w:val="both"/>
        <w:rPr>
          <w:sz w:val="28"/>
          <w:szCs w:val="28"/>
        </w:rPr>
      </w:pPr>
      <w:r w:rsidRPr="00D94F32">
        <w:rPr>
          <w:sz w:val="28"/>
          <w:szCs w:val="28"/>
        </w:rPr>
        <w:t>Согласно прогнозу, к 2028 году численность безработных граждан (по методологии МОТ) по базовому варианту снизится до 7,4 тыс. чел., численность безработных, зарегистрированных в службе занятости, снизится до 1,4 тыс. чел., при этом уровень общей безработиц</w:t>
      </w:r>
      <w:r w:rsidRPr="00D94F32">
        <w:rPr>
          <w:sz w:val="28"/>
          <w:szCs w:val="28"/>
        </w:rPr>
        <w:t>ы снизится до 2,9%, уровень зарегистрированной безработицы - до 0,55%.</w:t>
      </w:r>
    </w:p>
    <w:p w:rsidR="00513C81" w:rsidRPr="00D94F32" w:rsidRDefault="00D94F32">
      <w:pPr>
        <w:widowControl w:val="0"/>
        <w:ind w:firstLine="567"/>
        <w:jc w:val="both"/>
        <w:rPr>
          <w:sz w:val="28"/>
          <w:szCs w:val="28"/>
        </w:rPr>
      </w:pPr>
      <w:r w:rsidRPr="00D94F32">
        <w:rPr>
          <w:sz w:val="28"/>
          <w:szCs w:val="28"/>
        </w:rPr>
        <w:t xml:space="preserve">В рамках двух сценариев (базового и консервативного) в период 2026-2028 годов на региональном рынке труда сохранится режим ограниченного предложения рабочей силы. В перспективе, исходя </w:t>
      </w:r>
      <w:r w:rsidRPr="00D94F32">
        <w:rPr>
          <w:sz w:val="28"/>
          <w:szCs w:val="28"/>
        </w:rPr>
        <w:t xml:space="preserve">из оценок состояния и динамики населения и трудовых показателей, численность рабочей силы продолжит уменьшаться и эта тенденция останется без изменений на всем горизонте прогноза. Отрицательная динамика, как по ресурсной, так и кадровой составляющей будет </w:t>
      </w:r>
      <w:r w:rsidRPr="00D94F32">
        <w:rPr>
          <w:sz w:val="28"/>
          <w:szCs w:val="28"/>
        </w:rPr>
        <w:t>иметь устойчивый и сглаженный (без резких колебаний) характер.</w:t>
      </w:r>
    </w:p>
    <w:p w:rsidR="00513C81" w:rsidRPr="00D94F32" w:rsidRDefault="00D94F32">
      <w:pPr>
        <w:widowControl w:val="0"/>
        <w:ind w:firstLine="567"/>
        <w:jc w:val="both"/>
        <w:rPr>
          <w:sz w:val="28"/>
          <w:szCs w:val="28"/>
        </w:rPr>
      </w:pPr>
      <w:r w:rsidRPr="00D94F32">
        <w:rPr>
          <w:sz w:val="28"/>
          <w:szCs w:val="28"/>
        </w:rPr>
        <w:t xml:space="preserve">В базовом сценарии численность занятого населения к 2028 году увеличится до  236,2 тыс. человек. Увеличение занятости </w:t>
      </w:r>
      <w:r w:rsidRPr="00D94F32">
        <w:rPr>
          <w:sz w:val="28"/>
          <w:szCs w:val="28"/>
        </w:rPr>
        <w:t>прогнозируется за счет реализуемых Правительством Российской Федерации и П</w:t>
      </w:r>
      <w:r w:rsidRPr="00D94F32">
        <w:rPr>
          <w:sz w:val="28"/>
          <w:szCs w:val="28"/>
        </w:rPr>
        <w:t>равительством Республики Карелия мер поддержки, направленных на стимулирование роста инвестиций, активизацию предпринимательской инициативы, развитие  приоритетных отраслей промышленности, в том числе в сфере оборонно-промышленного комплекса, в рамках инве</w:t>
      </w:r>
      <w:r w:rsidRPr="00D94F32">
        <w:rPr>
          <w:sz w:val="28"/>
          <w:szCs w:val="28"/>
        </w:rPr>
        <w:t>стиционно-инновационной модели развития региональной экономики.</w:t>
      </w:r>
    </w:p>
    <w:p w:rsidR="00513C81" w:rsidRPr="00D94F32" w:rsidRDefault="00D94F32">
      <w:pPr>
        <w:widowControl w:val="0"/>
        <w:ind w:firstLine="567"/>
        <w:jc w:val="both"/>
        <w:rPr>
          <w:sz w:val="28"/>
          <w:szCs w:val="28"/>
        </w:rPr>
      </w:pPr>
      <w:r w:rsidRPr="00D94F32">
        <w:rPr>
          <w:sz w:val="28"/>
          <w:szCs w:val="28"/>
        </w:rPr>
        <w:t>Одним из источников ресурса труда станет приток дополнительной рабочей силы, который связывается с возможностью удержания или возвращения на рынок труда лиц старших возрастов. В результате еже</w:t>
      </w:r>
      <w:r w:rsidRPr="00D94F32">
        <w:rPr>
          <w:sz w:val="28"/>
          <w:szCs w:val="28"/>
        </w:rPr>
        <w:t>годной индексации пенсий работающим пенсионерам, начиная с 1 февраля 2025 года, дееспособная часть экономически активного населения может быть привлечена к работе на производстве и оказанию услуг.</w:t>
      </w:r>
    </w:p>
    <w:p w:rsidR="00513C81" w:rsidRPr="00D94F32" w:rsidRDefault="00D94F32">
      <w:pPr>
        <w:widowControl w:val="0"/>
        <w:ind w:firstLine="567"/>
        <w:jc w:val="both"/>
        <w:rPr>
          <w:sz w:val="28"/>
          <w:szCs w:val="28"/>
        </w:rPr>
      </w:pPr>
      <w:r w:rsidRPr="00D94F32">
        <w:rPr>
          <w:sz w:val="28"/>
          <w:szCs w:val="28"/>
        </w:rPr>
        <w:t>Другим источником компенсирования трудовых потерь может ста</w:t>
      </w:r>
      <w:r w:rsidRPr="00D94F32">
        <w:rPr>
          <w:sz w:val="28"/>
          <w:szCs w:val="28"/>
        </w:rPr>
        <w:t xml:space="preserve">ть прирост численности молодого контингента в возрасте 21-23 лет, прошедшего основное и дополнительное профессиональное обучение, который может приступить к хозяйственной деятельности в период 2026-2028 годов. </w:t>
      </w:r>
    </w:p>
    <w:p w:rsidR="00513C81" w:rsidRPr="00D94F32" w:rsidRDefault="00D94F32">
      <w:pPr>
        <w:widowControl w:val="0"/>
        <w:ind w:firstLine="567"/>
        <w:jc w:val="both"/>
        <w:rPr>
          <w:sz w:val="28"/>
          <w:szCs w:val="28"/>
        </w:rPr>
      </w:pPr>
      <w:r w:rsidRPr="00D94F32">
        <w:rPr>
          <w:sz w:val="28"/>
          <w:szCs w:val="28"/>
        </w:rPr>
        <w:t>Параметры рабочей силы может частично улучшит</w:t>
      </w:r>
      <w:r w:rsidRPr="00D94F32">
        <w:rPr>
          <w:sz w:val="28"/>
          <w:szCs w:val="28"/>
        </w:rPr>
        <w:t xml:space="preserve">ь формирование и развитие Кемско-Беломорской агломерации Республики Карелия в контексте Арктики и Северного морского пути. Кроме этого окажет влияние дислоцирование воинских формирований и проживание членов семей </w:t>
      </w:r>
      <w:r w:rsidRPr="00D94F32">
        <w:rPr>
          <w:sz w:val="28"/>
          <w:szCs w:val="28"/>
        </w:rPr>
        <w:lastRenderedPageBreak/>
        <w:t>военнослужащих в закрытых административно-т</w:t>
      </w:r>
      <w:r w:rsidRPr="00D94F32">
        <w:rPr>
          <w:sz w:val="28"/>
          <w:szCs w:val="28"/>
        </w:rPr>
        <w:t>ерриториальных образованиях и населенных пунктах Арктической зоны Российской Федерации.</w:t>
      </w:r>
    </w:p>
    <w:p w:rsidR="00513C81" w:rsidRPr="00D94F32" w:rsidRDefault="00D94F32">
      <w:pPr>
        <w:widowControl w:val="0"/>
        <w:ind w:firstLine="709"/>
        <w:jc w:val="both"/>
        <w:rPr>
          <w:sz w:val="28"/>
          <w:szCs w:val="28"/>
        </w:rPr>
      </w:pPr>
      <w:r w:rsidRPr="00D94F32">
        <w:rPr>
          <w:sz w:val="28"/>
          <w:szCs w:val="28"/>
        </w:rPr>
        <w:t>В 2024 году по данным Карелиястата среднемесячная заработная плата работников организаций выросла по сравнению с предыдущим годом на 14,6 % (в 2023 году темп прироста с</w:t>
      </w:r>
      <w:r w:rsidRPr="00D94F32">
        <w:rPr>
          <w:sz w:val="28"/>
          <w:szCs w:val="28"/>
        </w:rPr>
        <w:t xml:space="preserve">оставил 14,7% к 2022 году) и составила 74210 рублей. Наибольшая </w:t>
      </w:r>
      <w:r w:rsidRPr="00D94F32">
        <w:rPr>
          <w:sz w:val="28"/>
          <w:szCs w:val="28"/>
        </w:rPr>
        <w:t>среднемесячная номинальная начисленная заработная  плата одного работника в  2024 году традиционно сложилась в «добыче полезных ископаемых» - 12978,9  руб., «финансовой и страховой деятельнос</w:t>
      </w:r>
      <w:r w:rsidRPr="00D94F32">
        <w:rPr>
          <w:sz w:val="28"/>
          <w:szCs w:val="28"/>
        </w:rPr>
        <w:t xml:space="preserve">ти» - 104569,9 руб.,  и «государственном управлении и обеспечении военной безопасности, социальном обеспечении» - 95162,3 рубля.  Наименьшая величина среднемесячной начисленной заработной платы одного работника в 2024 году </w:t>
      </w:r>
      <w:r w:rsidRPr="00D94F32">
        <w:rPr>
          <w:sz w:val="28"/>
          <w:szCs w:val="28"/>
        </w:rPr>
        <w:t>отмечается по таким видам эконом</w:t>
      </w:r>
      <w:r w:rsidRPr="00D94F32">
        <w:rPr>
          <w:sz w:val="28"/>
          <w:szCs w:val="28"/>
        </w:rPr>
        <w:t>ической деятельности, как «торговля оптовая и розничная» - 47360,2 рублей, «деятельность гостиниц и предприятий общественного питания» - 51180,3 руб., «деятельность административная и сопутствующие услуги» - 52752,4 рубля.</w:t>
      </w:r>
    </w:p>
    <w:p w:rsidR="00513C81" w:rsidRPr="00D94F32" w:rsidRDefault="00D94F32">
      <w:pPr>
        <w:widowControl w:val="0"/>
        <w:ind w:firstLine="567"/>
        <w:jc w:val="both"/>
        <w:rPr>
          <w:sz w:val="28"/>
          <w:szCs w:val="28"/>
        </w:rPr>
      </w:pPr>
      <w:r w:rsidRPr="00D94F32">
        <w:rPr>
          <w:sz w:val="28"/>
          <w:szCs w:val="28"/>
        </w:rPr>
        <w:t>По данным Карелиястата среднемеся</w:t>
      </w:r>
      <w:r w:rsidRPr="00D94F32">
        <w:rPr>
          <w:sz w:val="28"/>
          <w:szCs w:val="28"/>
        </w:rPr>
        <w:t>чная номинальная начисленная заработная плата работников организаций Республики Карелия за январь-май 2025 года составила 78985,1 руб. или 107,6 % к январю-маю 2024 года и по 2025 году оценивается в размере 81500 руб. (109,8% к 2024 году). На темп роста да</w:t>
      </w:r>
      <w:r w:rsidRPr="00D94F32">
        <w:rPr>
          <w:sz w:val="28"/>
          <w:szCs w:val="28"/>
        </w:rPr>
        <w:t>нного показателя окажет влияние планируемое повышение  с 1 октября 2025 года заработной платы для ряда категорий федеральных государственных служащих, в том числе сотрудников Росгвардии, </w:t>
      </w:r>
      <w:hyperlink r:id="rId8" w:tooltip="https://news.mail.ru/company/mvd/" w:history="1">
        <w:r w:rsidRPr="00D94F32">
          <w:rPr>
            <w:sz w:val="28"/>
            <w:szCs w:val="28"/>
          </w:rPr>
          <w:t>МВД</w:t>
        </w:r>
      </w:hyperlink>
      <w:r w:rsidRPr="00D94F32">
        <w:rPr>
          <w:sz w:val="28"/>
          <w:szCs w:val="28"/>
        </w:rPr>
        <w:t>, </w:t>
      </w:r>
      <w:hyperlink r:id="rId9" w:tooltip="https://news.mail.ru/company/fsin/" w:history="1">
        <w:r w:rsidRPr="00D94F32">
          <w:rPr>
            <w:sz w:val="28"/>
            <w:szCs w:val="28"/>
          </w:rPr>
          <w:t>ФСИН</w:t>
        </w:r>
      </w:hyperlink>
      <w:r w:rsidRPr="00D94F32">
        <w:rPr>
          <w:sz w:val="28"/>
          <w:szCs w:val="28"/>
        </w:rPr>
        <w:t xml:space="preserve">, ФССП, ФПС, таможни, фельдъегерской связи, а также военнослужащих. </w:t>
      </w:r>
    </w:p>
    <w:p w:rsidR="00513C81" w:rsidRPr="00D94F32" w:rsidRDefault="00D94F32">
      <w:pPr>
        <w:widowControl w:val="0"/>
        <w:ind w:firstLine="567"/>
        <w:jc w:val="both"/>
        <w:rPr>
          <w:sz w:val="28"/>
          <w:szCs w:val="28"/>
        </w:rPr>
      </w:pPr>
      <w:r w:rsidRPr="00D94F32">
        <w:rPr>
          <w:sz w:val="28"/>
          <w:szCs w:val="28"/>
        </w:rPr>
        <w:t xml:space="preserve">Предполагается, что темпы роста номинальной начисленной заработной </w:t>
      </w:r>
      <w:r w:rsidRPr="00D94F32">
        <w:rPr>
          <w:sz w:val="28"/>
          <w:szCs w:val="28"/>
        </w:rPr>
        <w:t xml:space="preserve">платы в 2026-2028 годах составят по консервативному варианту 104,8-105,5 %, по базовому варианту 105,5-106,5 %. </w:t>
      </w:r>
    </w:p>
    <w:p w:rsidR="00513C81" w:rsidRPr="00D94F32" w:rsidRDefault="00D94F32">
      <w:pPr>
        <w:widowControl w:val="0"/>
        <w:ind w:firstLine="567"/>
        <w:jc w:val="both"/>
        <w:rPr>
          <w:sz w:val="28"/>
          <w:szCs w:val="28"/>
        </w:rPr>
      </w:pPr>
      <w:r w:rsidRPr="00D94F32">
        <w:rPr>
          <w:sz w:val="28"/>
          <w:szCs w:val="28"/>
        </w:rPr>
        <w:t>Среднемесячная начисленная заработная плата наемных работников в организациях, у индивидуальных предпринимателей и физических лиц (среднемесячн</w:t>
      </w:r>
      <w:r w:rsidRPr="00D94F32">
        <w:rPr>
          <w:sz w:val="28"/>
          <w:szCs w:val="28"/>
        </w:rPr>
        <w:t>ый доход от трудовой деятельности), используемая для определения целевых значений показателей повышения уровня заработной платы отдельных категорий работников бюджетной сферы, предусмотренных «майскими» Указами Президента Российской Федерации, за  2024 год</w:t>
      </w:r>
      <w:r w:rsidRPr="00D94F32">
        <w:rPr>
          <w:sz w:val="28"/>
          <w:szCs w:val="28"/>
        </w:rPr>
        <w:t xml:space="preserve"> по данным Росстата составила 61,7 тыс.руб. (115 % к 2023 году).  Среднемесячный доход от трудовой деятельности в 2026-2028 годах прогнозируется 71,5-78,7 тыс. рублей (по консервативному варианту) и 72,2-80,7 тыс. рублей (по базовому варианту).</w:t>
      </w:r>
    </w:p>
    <w:p w:rsidR="00513C81" w:rsidRPr="00D94F32" w:rsidRDefault="00D94F32">
      <w:pPr>
        <w:widowControl w:val="0"/>
        <w:ind w:firstLine="567"/>
        <w:jc w:val="both"/>
        <w:rPr>
          <w:sz w:val="28"/>
          <w:szCs w:val="28"/>
        </w:rPr>
      </w:pPr>
      <w:r w:rsidRPr="00D94F32">
        <w:rPr>
          <w:sz w:val="28"/>
          <w:szCs w:val="28"/>
        </w:rPr>
        <w:t>Фонд зарабо</w:t>
      </w:r>
      <w:r w:rsidRPr="00D94F32">
        <w:rPr>
          <w:sz w:val="28"/>
          <w:szCs w:val="28"/>
        </w:rPr>
        <w:t>тной платы работников организаций в 2024 году составил 154,2 млрд.руб. (113,6 % к 2023 году). В 2025 году фонд заработной платы ожидается в объеме 166,6 млрд.рублей (108% к 2024 году). В 2026-2028 годах прогнозируется рост фонда заработной платы с достижен</w:t>
      </w:r>
      <w:r w:rsidRPr="00D94F32">
        <w:rPr>
          <w:sz w:val="28"/>
          <w:szCs w:val="28"/>
        </w:rPr>
        <w:t xml:space="preserve">ием к 2028 году 196,8 млрд. рублей </w:t>
      </w:r>
      <w:r w:rsidRPr="00D94F32">
        <w:rPr>
          <w:sz w:val="28"/>
          <w:szCs w:val="28"/>
        </w:rPr>
        <w:t>по базовому варианту.</w:t>
      </w:r>
    </w:p>
    <w:p w:rsidR="00513C81" w:rsidRPr="00D94F32" w:rsidRDefault="00D94F32">
      <w:pPr>
        <w:widowControl w:val="0"/>
        <w:ind w:firstLine="567"/>
        <w:jc w:val="both"/>
        <w:rPr>
          <w:sz w:val="28"/>
          <w:szCs w:val="28"/>
        </w:rPr>
      </w:pPr>
      <w:r w:rsidRPr="00D94F32">
        <w:rPr>
          <w:sz w:val="28"/>
          <w:szCs w:val="28"/>
        </w:rPr>
        <w:t>Вопросы обеспечения роста реальных денежных доходов населения, в том числе реальной заработной платы, а также своевременность выплаты заработной платы в Республике Карелия постоянно находятся в цент</w:t>
      </w:r>
      <w:r w:rsidRPr="00D94F32">
        <w:rPr>
          <w:sz w:val="28"/>
          <w:szCs w:val="28"/>
        </w:rPr>
        <w:t xml:space="preserve">ре </w:t>
      </w:r>
      <w:r w:rsidRPr="00D94F32">
        <w:rPr>
          <w:sz w:val="28"/>
          <w:szCs w:val="28"/>
        </w:rPr>
        <w:lastRenderedPageBreak/>
        <w:t xml:space="preserve">внимания Республиканской трехсторонней комиссии по регулированию социально-трудовых отношений. </w:t>
      </w:r>
    </w:p>
    <w:p w:rsidR="00513C81" w:rsidRPr="00D94F32" w:rsidRDefault="00D94F32">
      <w:pPr>
        <w:widowControl w:val="0"/>
        <w:ind w:firstLine="567"/>
        <w:jc w:val="both"/>
        <w:rPr>
          <w:sz w:val="28"/>
          <w:szCs w:val="28"/>
        </w:rPr>
      </w:pPr>
      <w:r w:rsidRPr="00D94F32">
        <w:rPr>
          <w:sz w:val="28"/>
          <w:szCs w:val="28"/>
        </w:rPr>
        <w:t>В настоящее время продолжает действовать Соглашение между Правительством Республики Карелия, Союзом организаций профсоюзов в Республике Карелия и Региональны</w:t>
      </w:r>
      <w:r w:rsidRPr="00D94F32">
        <w:rPr>
          <w:sz w:val="28"/>
          <w:szCs w:val="28"/>
        </w:rPr>
        <w:t xml:space="preserve">м объединением работодателей Республики Карелия «Союз промышленников и предпринимателей (работодателей) Республики Карелия» на 2022-2025 годы. Основной целью реализации партнерских отношений в сфере труда является сохранение согласия в обществе и создание </w:t>
      </w:r>
      <w:r w:rsidRPr="00D94F32">
        <w:rPr>
          <w:sz w:val="28"/>
          <w:szCs w:val="28"/>
        </w:rPr>
        <w:t>на основе принципов социального партнерства необходимых условий для развития экономики, социальной и правовой защиты работников, жителей республики.</w:t>
      </w:r>
    </w:p>
    <w:p w:rsidR="00513C81" w:rsidRPr="00D94F32" w:rsidRDefault="00D94F32">
      <w:pPr>
        <w:widowControl w:val="0"/>
        <w:ind w:firstLine="567"/>
        <w:jc w:val="both"/>
        <w:rPr>
          <w:sz w:val="28"/>
          <w:szCs w:val="28"/>
        </w:rPr>
      </w:pPr>
      <w:r w:rsidRPr="00D94F32">
        <w:rPr>
          <w:sz w:val="28"/>
          <w:szCs w:val="28"/>
        </w:rPr>
        <w:t>Социально-трудовые отношения на территориальном и локальном уровнях регулируются соглашениями и коллективными договорами. В целях развития коллективно-договорного сотрудничества, снижения числа нарушений в сфере труда проводятся семинары (совещания) по воп</w:t>
      </w:r>
      <w:r w:rsidRPr="00D94F32">
        <w:rPr>
          <w:sz w:val="28"/>
          <w:szCs w:val="28"/>
        </w:rPr>
        <w:t>росам оплаты, охраны труда, порядка заключения трудовых, коллективных договоров, в средствах массовой информации публикуются информационные материалы, оказываются консультации по вопросам трудовых отношений.</w:t>
      </w:r>
    </w:p>
    <w:p w:rsidR="00513C81" w:rsidRPr="00D94F32" w:rsidRDefault="00D94F32">
      <w:pPr>
        <w:widowControl w:val="0"/>
        <w:ind w:firstLine="567"/>
        <w:jc w:val="both"/>
        <w:rPr>
          <w:sz w:val="28"/>
          <w:szCs w:val="28"/>
        </w:rPr>
      </w:pPr>
      <w:r w:rsidRPr="00D94F32">
        <w:rPr>
          <w:sz w:val="28"/>
          <w:szCs w:val="28"/>
        </w:rPr>
        <w:t xml:space="preserve"> Результатом проводимой в данном направлении раб</w:t>
      </w:r>
      <w:r w:rsidRPr="00D94F32">
        <w:rPr>
          <w:sz w:val="28"/>
          <w:szCs w:val="28"/>
        </w:rPr>
        <w:t>оты в республике является действие на 1 июля 2024 года 881 коллективного договора и 15 соглашений.</w:t>
      </w:r>
    </w:p>
    <w:p w:rsidR="00513C81" w:rsidRPr="00D94F32" w:rsidRDefault="00D94F32">
      <w:pPr>
        <w:widowControl w:val="0"/>
        <w:ind w:firstLine="567"/>
        <w:jc w:val="both"/>
        <w:rPr>
          <w:sz w:val="28"/>
          <w:szCs w:val="28"/>
        </w:rPr>
      </w:pPr>
      <w:r w:rsidRPr="00D94F32">
        <w:rPr>
          <w:b/>
          <w:sz w:val="28"/>
          <w:szCs w:val="28"/>
        </w:rPr>
        <w:t>Валовой региональный продукт</w:t>
      </w:r>
      <w:r w:rsidRPr="00D94F32">
        <w:rPr>
          <w:sz w:val="28"/>
          <w:szCs w:val="28"/>
        </w:rPr>
        <w:t xml:space="preserve"> (</w:t>
      </w:r>
      <w:hyperlink r:id="rId10" w:tooltip="https://tver.bezformata.com/word/vrp/16811/" w:history="1">
        <w:r w:rsidRPr="00D94F32">
          <w:rPr>
            <w:sz w:val="28"/>
            <w:szCs w:val="28"/>
          </w:rPr>
          <w:t>ВРП</w:t>
        </w:r>
      </w:hyperlink>
      <w:r w:rsidRPr="00D94F32">
        <w:rPr>
          <w:sz w:val="28"/>
          <w:szCs w:val="28"/>
        </w:rPr>
        <w:t>) по Республике</w:t>
      </w:r>
      <w:r w:rsidRPr="00D94F32">
        <w:rPr>
          <w:sz w:val="28"/>
          <w:szCs w:val="28"/>
        </w:rPr>
        <w:t xml:space="preserve"> Карелия в 2023 году  составил  434,3 млрд.руб. и  увеличился по сравнению с 2022 годом на 41,6 млрд.руб.  в действующих ценах. Индекс физического объема созданной добавленной стоимости по сравнению с 2022 годом составил 103,6 процентов.</w:t>
      </w:r>
    </w:p>
    <w:p w:rsidR="00513C81" w:rsidRPr="00D94F32" w:rsidRDefault="00D94F32">
      <w:pPr>
        <w:widowControl w:val="0"/>
        <w:ind w:firstLine="567"/>
        <w:jc w:val="both"/>
        <w:rPr>
          <w:sz w:val="28"/>
          <w:szCs w:val="28"/>
        </w:rPr>
      </w:pPr>
      <w:r w:rsidRPr="00D94F32">
        <w:rPr>
          <w:sz w:val="28"/>
          <w:szCs w:val="28"/>
        </w:rPr>
        <w:t>В структуре добавл</w:t>
      </w:r>
      <w:r w:rsidRPr="00D94F32">
        <w:rPr>
          <w:sz w:val="28"/>
          <w:szCs w:val="28"/>
        </w:rPr>
        <w:t>енной стоимости наибольший удельный вес приходится на добычу полезных ископаемых, доля которой составила 14,1%. Вклад обрабатывающих производств составил 11,8%, деятельности по операциям с недвижимым имуществом - 11,3% транспорта - 10,8%, торговли - 7%.</w:t>
      </w:r>
    </w:p>
    <w:p w:rsidR="00513C81" w:rsidRPr="00D94F32" w:rsidRDefault="00D94F32">
      <w:pPr>
        <w:widowControl w:val="0"/>
        <w:ind w:firstLine="567"/>
        <w:jc w:val="both"/>
        <w:rPr>
          <w:sz w:val="28"/>
          <w:szCs w:val="28"/>
        </w:rPr>
      </w:pPr>
      <w:r w:rsidRPr="00D94F32">
        <w:rPr>
          <w:sz w:val="28"/>
          <w:szCs w:val="28"/>
        </w:rPr>
        <w:t>Вм</w:t>
      </w:r>
      <w:r w:rsidRPr="00D94F32">
        <w:rPr>
          <w:sz w:val="28"/>
          <w:szCs w:val="28"/>
        </w:rPr>
        <w:t>есте с тем высокие темпы роста добавленной стоимости в сопоставимых ценах в сравнении с 2022 годом сложились в таких видах экономической деятельности, как обеспечение электрической энергией, газом и паром; кондиционирование воздуха 139,3%, водоснабжение, в</w:t>
      </w:r>
      <w:r w:rsidRPr="00D94F32">
        <w:rPr>
          <w:sz w:val="28"/>
          <w:szCs w:val="28"/>
        </w:rPr>
        <w:t>одоотведение, организация сбора и утилизация отходов, деятельность по ликвидации загрязнений - 138,6%, деятельность гостиниц и предприятий общественного питания - 132,9%, сельское, лесное хозяйство, охота, рыболовство и рыбоводство - 112,2%, транспортировк</w:t>
      </w:r>
      <w:r w:rsidRPr="00D94F32">
        <w:rPr>
          <w:sz w:val="28"/>
          <w:szCs w:val="28"/>
        </w:rPr>
        <w:t>а и хранение -111,6%.</w:t>
      </w:r>
    </w:p>
    <w:p w:rsidR="00513C81" w:rsidRPr="00D94F32" w:rsidRDefault="00D94F32">
      <w:pPr>
        <w:widowControl w:val="0"/>
        <w:ind w:firstLine="567"/>
        <w:jc w:val="both"/>
        <w:rPr>
          <w:sz w:val="28"/>
          <w:szCs w:val="28"/>
        </w:rPr>
      </w:pPr>
      <w:r w:rsidRPr="00D94F32">
        <w:rPr>
          <w:sz w:val="28"/>
          <w:szCs w:val="28"/>
        </w:rPr>
        <w:t xml:space="preserve">ВРП в 2024 году оценивается </w:t>
      </w:r>
      <w:r w:rsidRPr="00D94F32">
        <w:rPr>
          <w:sz w:val="28"/>
          <w:szCs w:val="28"/>
        </w:rPr>
        <w:t>в размере 462 млрд. руб., или 100% к предыдущему году в сопоставимых ценах. При оценке учитывались  фактическое значения ВРП за 2023 год – 434,3 млрд. руб., оборот организаций за 2024 год - 770,2 млрд.руб.</w:t>
      </w:r>
      <w:r w:rsidRPr="00D94F32">
        <w:rPr>
          <w:sz w:val="28"/>
          <w:szCs w:val="28"/>
        </w:rPr>
        <w:t xml:space="preserve"> (темп роста 109,3% к 2023 году) прибыль прибыльных организаций 65,1 млрд.руб. (темп роста 134,5% к 2023 году), фонд оплаты труда 214,8 млрд.руб. млрд руб. (темп роста 134,5% к 2023 году), а также динамика производства  по видам экономической деятельности </w:t>
      </w:r>
      <w:r w:rsidRPr="00D94F32">
        <w:rPr>
          <w:sz w:val="28"/>
          <w:szCs w:val="28"/>
        </w:rPr>
        <w:t xml:space="preserve">и сложившиеся индексы дефляторы. </w:t>
      </w:r>
    </w:p>
    <w:p w:rsidR="00513C81" w:rsidRPr="00D94F32" w:rsidRDefault="00D94F32">
      <w:pPr>
        <w:widowControl w:val="0"/>
        <w:ind w:firstLine="567"/>
        <w:jc w:val="both"/>
        <w:rPr>
          <w:sz w:val="28"/>
          <w:szCs w:val="28"/>
        </w:rPr>
      </w:pPr>
      <w:r w:rsidRPr="00D94F32">
        <w:rPr>
          <w:sz w:val="28"/>
          <w:szCs w:val="28"/>
        </w:rPr>
        <w:t xml:space="preserve">На формирование индекса физического объема валового регионального </w:t>
      </w:r>
      <w:r w:rsidRPr="00D94F32">
        <w:rPr>
          <w:sz w:val="28"/>
          <w:szCs w:val="28"/>
        </w:rPr>
        <w:lastRenderedPageBreak/>
        <w:t xml:space="preserve">продукта оказывает влияние динамика производства товаров работ и услуг в сопоставимых ценах в различных секторах экономики. </w:t>
      </w:r>
    </w:p>
    <w:p w:rsidR="00513C81" w:rsidRPr="00D94F32" w:rsidRDefault="00D94F32">
      <w:pPr>
        <w:widowControl w:val="0"/>
        <w:ind w:firstLine="567"/>
        <w:jc w:val="both"/>
        <w:rPr>
          <w:sz w:val="28"/>
          <w:szCs w:val="28"/>
        </w:rPr>
      </w:pPr>
      <w:r w:rsidRPr="00D94F32">
        <w:rPr>
          <w:sz w:val="28"/>
          <w:szCs w:val="28"/>
        </w:rPr>
        <w:t>С учетом анализа ситуации в отд</w:t>
      </w:r>
      <w:r w:rsidRPr="00D94F32">
        <w:rPr>
          <w:sz w:val="28"/>
          <w:szCs w:val="28"/>
        </w:rPr>
        <w:t>ельных секторах экономики, приведенного ниже, в 2025 году валовой региональный продукт ожидается в объеме 490,0 млрд.руб., что в сопоставимых ценах на       1% выше уровня 2024 года. Исходя из влияния внешних и внутренних факторов, среднегодовые темпы рост</w:t>
      </w:r>
      <w:r w:rsidRPr="00D94F32">
        <w:rPr>
          <w:sz w:val="28"/>
          <w:szCs w:val="28"/>
        </w:rPr>
        <w:t xml:space="preserve">а республиканской экономики в 2026-2028 годах по консервативному варианту прогнозируются на уровне </w:t>
      </w:r>
      <w:r w:rsidRPr="00D94F32">
        <w:rPr>
          <w:sz w:val="28"/>
          <w:szCs w:val="28"/>
        </w:rPr>
        <w:t>99-100,5 %, по базовому варианту – 101,5-102 %.</w:t>
      </w:r>
    </w:p>
    <w:p w:rsidR="00513C81" w:rsidRPr="00D94F32" w:rsidRDefault="00D94F32">
      <w:pPr>
        <w:widowControl w:val="0"/>
        <w:ind w:firstLine="567"/>
        <w:jc w:val="both"/>
        <w:rPr>
          <w:sz w:val="28"/>
          <w:szCs w:val="28"/>
        </w:rPr>
      </w:pPr>
      <w:r w:rsidRPr="00D94F32">
        <w:rPr>
          <w:b/>
          <w:sz w:val="28"/>
          <w:szCs w:val="28"/>
        </w:rPr>
        <w:t>Промышленность</w:t>
      </w:r>
      <w:r w:rsidRPr="00D94F32">
        <w:rPr>
          <w:sz w:val="28"/>
          <w:szCs w:val="28"/>
        </w:rPr>
        <w:t xml:space="preserve"> в Республике Карелия представлена такими отраслями, как лесопромышленный и горнопромышленный </w:t>
      </w:r>
      <w:r w:rsidRPr="00D94F32">
        <w:rPr>
          <w:sz w:val="28"/>
          <w:szCs w:val="28"/>
        </w:rPr>
        <w:t xml:space="preserve">комплексы, машиностроение, металлообработка, пищевая промышленность. </w:t>
      </w:r>
    </w:p>
    <w:p w:rsidR="00513C81" w:rsidRPr="00D94F32" w:rsidRDefault="00D94F32">
      <w:pPr>
        <w:widowControl w:val="0"/>
        <w:ind w:firstLine="567"/>
        <w:jc w:val="both"/>
        <w:rPr>
          <w:sz w:val="28"/>
          <w:szCs w:val="28"/>
          <w:highlight w:val="white"/>
        </w:rPr>
      </w:pPr>
      <w:r w:rsidRPr="00D94F32">
        <w:rPr>
          <w:sz w:val="28"/>
          <w:szCs w:val="28"/>
          <w:highlight w:val="white"/>
        </w:rPr>
        <w:t xml:space="preserve">При общем индексе производства в 2024 году по республике 99,3% к уровню 2023 года в добыче полезных ископаемых индекс производства составил 102,0%, обрабатывающих производствах – 97,2%, </w:t>
      </w:r>
      <w:r w:rsidRPr="00D94F32">
        <w:rPr>
          <w:sz w:val="28"/>
          <w:szCs w:val="28"/>
          <w:highlight w:val="white"/>
        </w:rPr>
        <w:t>обеспечении электрической энергией, газом и паром; кондиционировании воздуха - 104,7%, водоснабжении; водоотведении, организации сбора и утилизации отходов, деятельности по ликвидации загрязнений – 81,5%.</w:t>
      </w:r>
    </w:p>
    <w:p w:rsidR="00513C81" w:rsidRPr="00D94F32" w:rsidRDefault="00D94F32">
      <w:pPr>
        <w:widowControl w:val="0"/>
        <w:ind w:firstLine="567"/>
        <w:jc w:val="both"/>
        <w:rPr>
          <w:sz w:val="28"/>
          <w:szCs w:val="28"/>
          <w:highlight w:val="white"/>
        </w:rPr>
      </w:pPr>
      <w:r w:rsidRPr="00D94F32">
        <w:rPr>
          <w:sz w:val="28"/>
          <w:szCs w:val="28"/>
          <w:highlight w:val="white"/>
        </w:rPr>
        <w:t>В январе-июне 2025 года отмечается снижение промышл</w:t>
      </w:r>
      <w:r w:rsidRPr="00D94F32">
        <w:rPr>
          <w:sz w:val="28"/>
          <w:szCs w:val="28"/>
          <w:highlight w:val="white"/>
        </w:rPr>
        <w:t>енного производства - индекс промышленного производства составил 96,1% по сравнению с аналогичным периодом 2024 года, в обрабатывающих производствах – 91,4%, обеспечении электрической энергией, газом и паром; кондиционировании воздуха – 90,2%. Рост наблюда</w:t>
      </w:r>
      <w:r w:rsidRPr="00D94F32">
        <w:rPr>
          <w:sz w:val="28"/>
          <w:szCs w:val="28"/>
          <w:highlight w:val="white"/>
        </w:rPr>
        <w:t>ется в  добыче полезных ископаемых – 102,3%, водоснабжении, водоотведении, организации сбора и утилизации отходов, деятельности по ликвидации загрязнений – 104,2%.</w:t>
      </w:r>
    </w:p>
    <w:p w:rsidR="00513C81" w:rsidRPr="00D94F32" w:rsidRDefault="00D94F32">
      <w:pPr>
        <w:widowControl w:val="0"/>
        <w:ind w:firstLine="567"/>
        <w:jc w:val="both"/>
        <w:rPr>
          <w:sz w:val="28"/>
          <w:szCs w:val="28"/>
        </w:rPr>
      </w:pPr>
      <w:r w:rsidRPr="00D94F32">
        <w:rPr>
          <w:sz w:val="28"/>
          <w:szCs w:val="28"/>
        </w:rPr>
        <w:t>С учетом планов предприятий по итогам 2025 года индекс промышленного производства оцениваетс</w:t>
      </w:r>
      <w:r w:rsidRPr="00D94F32">
        <w:rPr>
          <w:sz w:val="28"/>
          <w:szCs w:val="28"/>
        </w:rPr>
        <w:t>я на уровне 99-100% к 2024 году, в том числе в добыче полезных ископаемых – 101,8%, в обрабатывающих производствах – 95%, в обеспечении электрической энергией, газом и паром; кондиционировании воздуха – 101%; в водоснабжении; водоотведении, организации сбо</w:t>
      </w:r>
      <w:r w:rsidRPr="00D94F32">
        <w:rPr>
          <w:sz w:val="28"/>
          <w:szCs w:val="28"/>
        </w:rPr>
        <w:t>ра и утилизации отходов, деятельности по ликвидации загрязнений – 110%.</w:t>
      </w:r>
    </w:p>
    <w:p w:rsidR="00513C81" w:rsidRPr="00D94F32" w:rsidRDefault="00D94F32">
      <w:pPr>
        <w:ind w:firstLine="567"/>
        <w:jc w:val="both"/>
        <w:rPr>
          <w:sz w:val="28"/>
          <w:szCs w:val="28"/>
        </w:rPr>
      </w:pPr>
      <w:r w:rsidRPr="00D94F32">
        <w:rPr>
          <w:sz w:val="28"/>
          <w:szCs w:val="28"/>
        </w:rPr>
        <w:t>Одним из ведущих в структуре промышленности республики является горнопромышленный комплекс, который объединяет работу более 70 предприятий, осущ</w:t>
      </w:r>
      <w:r w:rsidRPr="00D94F32">
        <w:rPr>
          <w:sz w:val="28"/>
          <w:szCs w:val="28"/>
        </w:rPr>
        <w:t>ествляющих добычные работы: добычу строительного камня для производства щебня, блоков, торфа, песка и песчано-гравийной смеси. Доля горных предприятий в общем объеме промышленного производства республики в 2024 году в стоимостном выражении составила 39,2%.</w:t>
      </w:r>
    </w:p>
    <w:p w:rsidR="00513C81" w:rsidRPr="00D94F32" w:rsidRDefault="00D94F32">
      <w:pPr>
        <w:ind w:firstLine="567"/>
        <w:jc w:val="both"/>
        <w:rPr>
          <w:sz w:val="28"/>
          <w:szCs w:val="28"/>
        </w:rPr>
      </w:pPr>
      <w:r w:rsidRPr="00D94F32">
        <w:rPr>
          <w:sz w:val="28"/>
          <w:szCs w:val="28"/>
        </w:rPr>
        <w:t xml:space="preserve">Самым крупным предприятием в добыче полезных ископаемых, выпускающим железорудные окатыши, является АО «Карельский окатыш», которое занимает пятую часть российского рынка по данному виду деятельности. </w:t>
      </w:r>
    </w:p>
    <w:p w:rsidR="00513C81" w:rsidRPr="00D94F32" w:rsidRDefault="00D94F32">
      <w:pPr>
        <w:ind w:firstLine="567"/>
        <w:jc w:val="both"/>
        <w:rPr>
          <w:sz w:val="28"/>
          <w:szCs w:val="28"/>
        </w:rPr>
      </w:pPr>
      <w:r w:rsidRPr="00D94F32">
        <w:rPr>
          <w:sz w:val="28"/>
          <w:szCs w:val="28"/>
        </w:rPr>
        <w:t>Лидерами отрасли по производству нерудных строительны</w:t>
      </w:r>
      <w:r w:rsidRPr="00D94F32">
        <w:rPr>
          <w:sz w:val="28"/>
          <w:szCs w:val="28"/>
        </w:rPr>
        <w:t>х материалов являются:</w:t>
      </w:r>
    </w:p>
    <w:p w:rsidR="00513C81" w:rsidRPr="00D94F32" w:rsidRDefault="00D94F32">
      <w:pPr>
        <w:ind w:firstLine="567"/>
        <w:jc w:val="both"/>
        <w:rPr>
          <w:sz w:val="28"/>
          <w:szCs w:val="28"/>
          <w:highlight w:val="yellow"/>
        </w:rPr>
      </w:pPr>
      <w:r w:rsidRPr="00D94F32">
        <w:rPr>
          <w:sz w:val="28"/>
          <w:szCs w:val="28"/>
        </w:rPr>
        <w:t xml:space="preserve">– по щебню: ООО </w:t>
      </w:r>
      <w:r w:rsidRPr="00D94F32">
        <w:rPr>
          <w:sz w:val="28"/>
          <w:szCs w:val="28"/>
          <w:highlight w:val="white"/>
        </w:rPr>
        <w:t>«Прионежская горная компания», ООО «Карелприродресурс», АО «</w:t>
      </w:r>
      <w:r w:rsidRPr="00D94F32">
        <w:rPr>
          <w:color w:val="000000"/>
          <w:sz w:val="28"/>
          <w:szCs w:val="28"/>
          <w:highlight w:val="white"/>
        </w:rPr>
        <w:t>КП Габбро</w:t>
      </w:r>
      <w:r w:rsidRPr="00D94F32">
        <w:rPr>
          <w:sz w:val="28"/>
          <w:szCs w:val="28"/>
          <w:highlight w:val="white"/>
        </w:rPr>
        <w:t>», ООО «Цементум Северо-Запад».</w:t>
      </w:r>
    </w:p>
    <w:p w:rsidR="00513C81" w:rsidRPr="00D94F32" w:rsidRDefault="00D94F32">
      <w:pPr>
        <w:ind w:firstLine="567"/>
        <w:jc w:val="both"/>
        <w:rPr>
          <w:sz w:val="28"/>
          <w:szCs w:val="28"/>
        </w:rPr>
      </w:pPr>
      <w:r w:rsidRPr="00D94F32">
        <w:rPr>
          <w:sz w:val="28"/>
          <w:szCs w:val="28"/>
        </w:rPr>
        <w:lastRenderedPageBreak/>
        <w:t>– по блочному камню: ООО «Другая река», ООО «Другорецкое», ООО «Кара-Тау».</w:t>
      </w:r>
    </w:p>
    <w:p w:rsidR="00513C81" w:rsidRPr="00D94F32" w:rsidRDefault="00D94F32">
      <w:pPr>
        <w:ind w:firstLine="567"/>
        <w:jc w:val="both"/>
        <w:rPr>
          <w:sz w:val="28"/>
          <w:szCs w:val="28"/>
          <w:highlight w:val="yellow"/>
        </w:rPr>
      </w:pPr>
      <w:r w:rsidRPr="00D94F32">
        <w:rPr>
          <w:sz w:val="28"/>
          <w:szCs w:val="28"/>
        </w:rPr>
        <w:t>В январе-июне 2025 года индекс производст</w:t>
      </w:r>
      <w:r w:rsidRPr="00D94F32">
        <w:rPr>
          <w:sz w:val="28"/>
          <w:szCs w:val="28"/>
        </w:rPr>
        <w:t xml:space="preserve">ва в добыче металлических руд составил 104% к аналогичному периоду 2024 года. В связи с введением в 2022 году внешнеэкономических санкций экспорт продукции АО «Карельский окатыш» в европейские страны приостановлен. В создавшихся условиях ПАО «Северсталь», </w:t>
      </w:r>
      <w:r w:rsidRPr="00D94F32">
        <w:rPr>
          <w:sz w:val="28"/>
          <w:szCs w:val="28"/>
        </w:rPr>
        <w:t>в сырьевой дивизион которого входит указанное предприятие, проводит работу по переориентированию продукции на другие рынки сбыта. П</w:t>
      </w:r>
      <w:r w:rsidRPr="00D94F32">
        <w:rPr>
          <w:sz w:val="28"/>
          <w:szCs w:val="28"/>
          <w:highlight w:val="white"/>
        </w:rPr>
        <w:t xml:space="preserve">о итогам января-июня 2025 года объем производства железорудных окатышей составил </w:t>
      </w:r>
      <w:r w:rsidRPr="00D94F32">
        <w:rPr>
          <w:sz w:val="28"/>
          <w:szCs w:val="28"/>
        </w:rPr>
        <w:t>5,58 млн.</w:t>
      </w:r>
      <w:r w:rsidRPr="00D94F32">
        <w:rPr>
          <w:sz w:val="28"/>
          <w:szCs w:val="28"/>
          <w:highlight w:val="white"/>
        </w:rPr>
        <w:t>тонн или 103,3% к аналогичному пери</w:t>
      </w:r>
      <w:r w:rsidRPr="00D94F32">
        <w:rPr>
          <w:sz w:val="28"/>
          <w:szCs w:val="28"/>
          <w:highlight w:val="white"/>
        </w:rPr>
        <w:t>оду 2024 года. Объем производства концентрата железорудного составил 104,9% к аналогичному периоду прошлого года). С учетом планов предприятия по 2025 году индекс производства металлических руд оценивается 103,1% к уровню 2024 года.</w:t>
      </w:r>
    </w:p>
    <w:p w:rsidR="00513C81" w:rsidRPr="00D94F32" w:rsidRDefault="00D94F32">
      <w:pPr>
        <w:ind w:firstLine="567"/>
        <w:jc w:val="both"/>
        <w:rPr>
          <w:sz w:val="28"/>
          <w:szCs w:val="28"/>
        </w:rPr>
      </w:pPr>
      <w:r w:rsidRPr="00D94F32">
        <w:rPr>
          <w:sz w:val="28"/>
          <w:szCs w:val="28"/>
        </w:rPr>
        <w:t xml:space="preserve">В планах у предприятия </w:t>
      </w:r>
      <w:r w:rsidRPr="00D94F32">
        <w:rPr>
          <w:sz w:val="28"/>
          <w:szCs w:val="28"/>
        </w:rPr>
        <w:t>реализация инвестиционных проектов по строительству системы энергоснабжения нового карьера «Восточный» с запасами руды для поддержания объемов производства товарной продукции на текущем уровне при истощении существующих участков, по строительству новой эне</w:t>
      </w:r>
      <w:r w:rsidRPr="00D94F32">
        <w:rPr>
          <w:sz w:val="28"/>
          <w:szCs w:val="28"/>
        </w:rPr>
        <w:t>ргетической инфраструктуры (подстанция, линий передач электроэнергии) для обеспечения текущего уровня производства товарной продукции на карьере «Южный», а также по строительству новой энергетической инфраструктуры (линия передач электроэнергии) для обеспе</w:t>
      </w:r>
      <w:r w:rsidRPr="00D94F32">
        <w:rPr>
          <w:sz w:val="28"/>
          <w:szCs w:val="28"/>
        </w:rPr>
        <w:t>чения текущего уровня производства товарной продукции по причине физического износа существующих линий.</w:t>
      </w:r>
    </w:p>
    <w:p w:rsidR="00513C81" w:rsidRPr="00D94F32" w:rsidRDefault="00D94F32">
      <w:pPr>
        <w:ind w:firstLine="567"/>
        <w:jc w:val="both"/>
        <w:rPr>
          <w:sz w:val="28"/>
          <w:szCs w:val="28"/>
          <w:highlight w:val="white"/>
        </w:rPr>
      </w:pPr>
      <w:r w:rsidRPr="00D94F32">
        <w:rPr>
          <w:sz w:val="28"/>
          <w:szCs w:val="28"/>
          <w:highlight w:val="white"/>
        </w:rPr>
        <w:t>В 2026-2028 годах с учетом динамики объемов производства АО «Карельский окатыш» индекс производства по виду деятельности «Добыча металлических руд» прог</w:t>
      </w:r>
      <w:r w:rsidRPr="00D94F32">
        <w:rPr>
          <w:sz w:val="28"/>
          <w:szCs w:val="28"/>
          <w:highlight w:val="white"/>
        </w:rPr>
        <w:t xml:space="preserve">нозируется по консервативному варианту 100-101,8%, по базовому варианту </w:t>
      </w:r>
      <w:r w:rsidRPr="00D94F32">
        <w:rPr>
          <w:sz w:val="28"/>
          <w:szCs w:val="28"/>
          <w:highlight w:val="white"/>
        </w:rPr>
        <w:t>101-102,2%.</w:t>
      </w:r>
    </w:p>
    <w:p w:rsidR="00513C81" w:rsidRPr="00D94F32" w:rsidRDefault="00D94F32">
      <w:pPr>
        <w:widowControl w:val="0"/>
        <w:ind w:firstLine="567"/>
        <w:jc w:val="both"/>
        <w:rPr>
          <w:sz w:val="28"/>
          <w:szCs w:val="28"/>
        </w:rPr>
      </w:pPr>
      <w:r w:rsidRPr="00D94F32">
        <w:rPr>
          <w:sz w:val="28"/>
          <w:szCs w:val="28"/>
        </w:rPr>
        <w:t>По виду деятельности «Добыча прочих полезных ископаемых» в январе-июне 2025 года индекс производства составил 90,1% к аналогичному периоду 2024 года.</w:t>
      </w:r>
    </w:p>
    <w:p w:rsidR="00513C81" w:rsidRPr="00D94F32" w:rsidRDefault="00D94F32">
      <w:pPr>
        <w:widowControl w:val="0"/>
        <w:ind w:firstLine="567"/>
        <w:jc w:val="both"/>
        <w:rPr>
          <w:sz w:val="28"/>
          <w:szCs w:val="28"/>
        </w:rPr>
      </w:pPr>
      <w:r w:rsidRPr="00D94F32">
        <w:rPr>
          <w:sz w:val="28"/>
          <w:szCs w:val="28"/>
        </w:rPr>
        <w:t>В текущем году ООО «Ц</w:t>
      </w:r>
      <w:r w:rsidRPr="00D94F32">
        <w:rPr>
          <w:sz w:val="28"/>
          <w:szCs w:val="28"/>
        </w:rPr>
        <w:t>ементум Северо-Запад» возобновляет производство щебня на Шокшинском месторождении (Северный участок). В августе 2025 года новый карьер будет официально запущен. Новый завод будет выпускать 1 миллион тонн высококачественного щебня в год. В настоящее время о</w:t>
      </w:r>
      <w:r w:rsidRPr="00D94F32">
        <w:rPr>
          <w:sz w:val="28"/>
          <w:szCs w:val="28"/>
        </w:rPr>
        <w:t>бъем производства сохраняется на том же уровне.</w:t>
      </w:r>
    </w:p>
    <w:p w:rsidR="00513C81" w:rsidRPr="00D94F32" w:rsidRDefault="00D94F32">
      <w:pPr>
        <w:widowControl w:val="0"/>
        <w:ind w:firstLine="567"/>
        <w:jc w:val="both"/>
        <w:rPr>
          <w:sz w:val="28"/>
          <w:szCs w:val="28"/>
        </w:rPr>
      </w:pPr>
      <w:r w:rsidRPr="00D94F32">
        <w:rPr>
          <w:sz w:val="28"/>
          <w:szCs w:val="28"/>
        </w:rPr>
        <w:t xml:space="preserve">ООО «БИОЭН Недра» приступило к разработке месторождения Ситозерское Кондопожского района. Новый завод построен за полтора года с опережением плановых сроков в два раза. Предприятие создано в рамках первого в </w:t>
      </w:r>
      <w:r w:rsidRPr="00D94F32">
        <w:rPr>
          <w:sz w:val="28"/>
          <w:szCs w:val="28"/>
        </w:rPr>
        <w:t xml:space="preserve">России межрегионального офсетного контракта между Москвой и Республикой Карелия. Офсетный контракт заключен на сумму более 61 млрд. рублей и вошел в десятку крупнейших по величине закупки за всю историю современной контрактной системы. Правительства обоих </w:t>
      </w:r>
      <w:r w:rsidRPr="00D94F32">
        <w:rPr>
          <w:sz w:val="28"/>
          <w:szCs w:val="28"/>
        </w:rPr>
        <w:t>регионов гарантируют закупку более 13,7 млн. тонн щебня в течение 10 лет.</w:t>
      </w:r>
    </w:p>
    <w:p w:rsidR="00513C81" w:rsidRPr="00D94F32" w:rsidRDefault="00D94F32">
      <w:pPr>
        <w:ind w:firstLine="708"/>
        <w:jc w:val="both"/>
        <w:rPr>
          <w:sz w:val="28"/>
          <w:szCs w:val="28"/>
        </w:rPr>
      </w:pPr>
      <w:r w:rsidRPr="00D94F32">
        <w:rPr>
          <w:sz w:val="28"/>
          <w:szCs w:val="28"/>
        </w:rPr>
        <w:t>За январь-июнь 2025 года объем производства гранита, песчаника и прочего камня для памятников и строительства составил 15077,8 тыс. тонн (86,9 % к аналогичному периоду 2024 года), об</w:t>
      </w:r>
      <w:r w:rsidRPr="00D94F32">
        <w:rPr>
          <w:sz w:val="28"/>
          <w:szCs w:val="28"/>
        </w:rPr>
        <w:t xml:space="preserve">ъем производства гранул, </w:t>
      </w:r>
      <w:r w:rsidRPr="00D94F32">
        <w:rPr>
          <w:sz w:val="28"/>
          <w:szCs w:val="28"/>
        </w:rPr>
        <w:lastRenderedPageBreak/>
        <w:t>крошки, порошка, гальки и гравия – 1414,4 тыс.куб.м (121 % к аналогичному периоду 2024 года).</w:t>
      </w:r>
    </w:p>
    <w:p w:rsidR="00513C81" w:rsidRPr="00D94F32" w:rsidRDefault="00D94F32">
      <w:pPr>
        <w:ind w:firstLine="708"/>
        <w:jc w:val="both"/>
        <w:rPr>
          <w:sz w:val="28"/>
          <w:szCs w:val="28"/>
        </w:rPr>
      </w:pPr>
      <w:r w:rsidRPr="00D94F32">
        <w:rPr>
          <w:sz w:val="28"/>
          <w:szCs w:val="28"/>
        </w:rPr>
        <w:t>За январь-июнь 2025 года произведено 35,68 тыс. куб. м блоков (101,3 % к уровню января-июня 2024 года). Наибольшие объемы производства на</w:t>
      </w:r>
      <w:r w:rsidRPr="00D94F32">
        <w:rPr>
          <w:sz w:val="28"/>
          <w:szCs w:val="28"/>
        </w:rPr>
        <w:t>блюдались у предприятий ООО «Другорецкое», ООО «Другая река».</w:t>
      </w:r>
    </w:p>
    <w:p w:rsidR="00513C81" w:rsidRPr="00D94F32" w:rsidRDefault="00D94F32">
      <w:pPr>
        <w:widowControl w:val="0"/>
        <w:ind w:firstLine="567"/>
        <w:jc w:val="both"/>
        <w:rPr>
          <w:sz w:val="28"/>
          <w:szCs w:val="28"/>
          <w:highlight w:val="white"/>
        </w:rPr>
      </w:pPr>
      <w:r w:rsidRPr="00D94F32">
        <w:rPr>
          <w:sz w:val="28"/>
          <w:szCs w:val="28"/>
          <w:highlight w:val="white"/>
        </w:rPr>
        <w:t>При условии развития и модернизации производств, объемах добычи полезных ископаемых, предусмотренных техническими проектами на разработку участков недр, наращивания объемов производства на дейст</w:t>
      </w:r>
      <w:r w:rsidRPr="00D94F32">
        <w:rPr>
          <w:sz w:val="28"/>
          <w:szCs w:val="28"/>
          <w:highlight w:val="white"/>
        </w:rPr>
        <w:t>вующих предприятиях, дальнейшей реализации  инвестиционных проектов по строительству новых горных производств, национальных проектов «Безопасные и качественные автомобильные дороги» и «Жилье и городская среда», а также с учетом текущей динамики, влияния по</w:t>
      </w:r>
      <w:r w:rsidRPr="00D94F32">
        <w:rPr>
          <w:sz w:val="28"/>
          <w:szCs w:val="28"/>
          <w:highlight w:val="white"/>
        </w:rPr>
        <w:t>годно-климатических условий, возникновения проблем с отгрузкой готовой продукции, связанных с деятельностью транспортных компаний, в том числе АО «РЖД», индекс производства по виду деятельности «Добыча полезных ископаемых» прогнозируется в 2025 году на уро</w:t>
      </w:r>
      <w:r w:rsidRPr="00D94F32">
        <w:rPr>
          <w:sz w:val="28"/>
          <w:szCs w:val="28"/>
          <w:highlight w:val="white"/>
        </w:rPr>
        <w:t>вне 101,8 %, в 2026-2028 годах: консервативный вариант - 100-101,7%; базовый вариант - 101-102,3%.</w:t>
      </w:r>
    </w:p>
    <w:p w:rsidR="00513C81" w:rsidRPr="00D94F32" w:rsidRDefault="00D94F32">
      <w:pPr>
        <w:widowControl w:val="0"/>
        <w:ind w:firstLine="567"/>
        <w:jc w:val="both"/>
        <w:rPr>
          <w:sz w:val="28"/>
          <w:szCs w:val="28"/>
        </w:rPr>
      </w:pPr>
      <w:r w:rsidRPr="00D94F32">
        <w:rPr>
          <w:sz w:val="28"/>
          <w:szCs w:val="28"/>
        </w:rPr>
        <w:t>В обрабатывающих производствах индекс промышленного производства в январе-июне 2025 года составил 92,1% по сравнению с аналогичным периодом 2024 года.</w:t>
      </w:r>
    </w:p>
    <w:p w:rsidR="00513C81" w:rsidRPr="00D94F32" w:rsidRDefault="00D94F32">
      <w:pPr>
        <w:ind w:firstLine="567"/>
        <w:jc w:val="both"/>
        <w:rPr>
          <w:sz w:val="28"/>
          <w:szCs w:val="28"/>
        </w:rPr>
      </w:pPr>
      <w:r w:rsidRPr="00D94F32">
        <w:rPr>
          <w:sz w:val="28"/>
          <w:szCs w:val="28"/>
        </w:rPr>
        <w:t>Несмот</w:t>
      </w:r>
      <w:r w:rsidRPr="00D94F32">
        <w:rPr>
          <w:sz w:val="28"/>
          <w:szCs w:val="28"/>
        </w:rPr>
        <w:t>ря на сокращение объемов выпускаемой продукции в обрабатывающих производствах отмечается позитивная динамика в производстве машин и оборудования, не включенных в другие группировки (173%), производстве напитков (127,7%), в производстве прочей неметаллическ</w:t>
      </w:r>
      <w:r w:rsidRPr="00D94F32">
        <w:rPr>
          <w:sz w:val="28"/>
          <w:szCs w:val="28"/>
        </w:rPr>
        <w:t xml:space="preserve">ой минеральной продукции (121,6%), в производстве химических веществ и химических продуктов (117,8%), в производстве готовых металлических изделий, кроме машин и оборудования (103,2%). </w:t>
      </w:r>
    </w:p>
    <w:p w:rsidR="00513C81" w:rsidRPr="00D94F32" w:rsidRDefault="00D94F32">
      <w:pPr>
        <w:ind w:firstLine="567"/>
        <w:jc w:val="both"/>
        <w:rPr>
          <w:sz w:val="28"/>
          <w:szCs w:val="28"/>
        </w:rPr>
      </w:pPr>
      <w:r w:rsidRPr="00D94F32">
        <w:rPr>
          <w:sz w:val="28"/>
          <w:szCs w:val="28"/>
        </w:rPr>
        <w:t>Негативное влияние на формирование индекса в обрабатывающих производст</w:t>
      </w:r>
      <w:r w:rsidRPr="00D94F32">
        <w:rPr>
          <w:sz w:val="28"/>
          <w:szCs w:val="28"/>
        </w:rPr>
        <w:t>вах в январе-июне 2025 года оказали такие виды экономической деятельности, как производство автотранспортных средств, прицепов и полуприцепов (53,4%), производство пищевых продуктов (66,8%), ремонт и монтаж машин и оборудования (82,1%),  металлургическое п</w:t>
      </w:r>
      <w:r w:rsidRPr="00D94F32">
        <w:rPr>
          <w:sz w:val="28"/>
          <w:szCs w:val="28"/>
        </w:rPr>
        <w:t xml:space="preserve">роизводство (82,4%), обработка древесины и производство изделий из дерева (89,6%),  производство электрического оборудования (94,5%), производство бумаги и бумажных изделий (95,3%), производство прочих транспортных средств и оборудования (96,7%). </w:t>
      </w:r>
    </w:p>
    <w:p w:rsidR="00513C81" w:rsidRPr="00D94F32" w:rsidRDefault="00D94F32">
      <w:pPr>
        <w:ind w:firstLine="567"/>
        <w:jc w:val="both"/>
        <w:rPr>
          <w:rFonts w:eastAsia="Calibri"/>
          <w:sz w:val="28"/>
          <w:szCs w:val="28"/>
        </w:rPr>
      </w:pPr>
      <w:r w:rsidRPr="00D94F32">
        <w:rPr>
          <w:rFonts w:eastAsia="Calibri"/>
          <w:sz w:val="28"/>
          <w:szCs w:val="28"/>
        </w:rPr>
        <w:t>Важнейше</w:t>
      </w:r>
      <w:r w:rsidRPr="00D94F32">
        <w:rPr>
          <w:rFonts w:eastAsia="Calibri"/>
          <w:sz w:val="28"/>
          <w:szCs w:val="28"/>
        </w:rPr>
        <w:t>й базовой отраслью промышленности Республики Карелия является лесопромышленный комплекс. В деревообработке насчитывается более 10-и ведущих предприятий, выпускающих широкий спектр продукции, в том числе пиломатериалы, ориентированно-стружечные плиты, плиты</w:t>
      </w:r>
      <w:r w:rsidRPr="00D94F32">
        <w:rPr>
          <w:rFonts w:eastAsia="Calibri"/>
          <w:sz w:val="28"/>
          <w:szCs w:val="28"/>
        </w:rPr>
        <w:t xml:space="preserve"> ДСП, топливные гранулы и другие виды продукции.</w:t>
      </w:r>
    </w:p>
    <w:p w:rsidR="00513C81" w:rsidRPr="00D94F32" w:rsidRDefault="00D94F32">
      <w:pPr>
        <w:widowControl w:val="0"/>
        <w:ind w:firstLine="567"/>
        <w:jc w:val="both"/>
        <w:rPr>
          <w:sz w:val="28"/>
          <w:szCs w:val="28"/>
        </w:rPr>
      </w:pPr>
      <w:r w:rsidRPr="00D94F32">
        <w:rPr>
          <w:sz w:val="28"/>
          <w:szCs w:val="28"/>
          <w:lang w:eastAsia="en-US"/>
        </w:rPr>
        <w:t xml:space="preserve">В условиях действующих санкций предприятия лесопромышленного комплекса оказались в особо уязвимом положении. </w:t>
      </w:r>
    </w:p>
    <w:p w:rsidR="00513C81" w:rsidRPr="00D94F32" w:rsidRDefault="00D94F32">
      <w:pPr>
        <w:widowControl w:val="0"/>
        <w:ind w:firstLine="567"/>
        <w:jc w:val="both"/>
        <w:rPr>
          <w:spacing w:val="-6"/>
          <w:sz w:val="28"/>
          <w:szCs w:val="28"/>
          <w:shd w:val="clear" w:color="auto" w:fill="FFFFFF"/>
        </w:rPr>
      </w:pPr>
      <w:r w:rsidRPr="00D94F32">
        <w:rPr>
          <w:sz w:val="28"/>
          <w:szCs w:val="28"/>
        </w:rPr>
        <w:t>Вместе с тем западные санкции стали хорошим стимулом для карельских экспорт</w:t>
      </w:r>
      <w:r w:rsidRPr="00D94F32">
        <w:rPr>
          <w:sz w:val="28"/>
          <w:szCs w:val="28"/>
        </w:rPr>
        <w:t xml:space="preserve">но ориентированных предприятий перенаправить продукцию в другие дружественные страны. В настоящее время поставки пиломатериалов полностью переориентированы на Страны Азии и Ближнего Востока, в том </w:t>
      </w:r>
      <w:r w:rsidRPr="00D94F32">
        <w:rPr>
          <w:sz w:val="28"/>
          <w:szCs w:val="28"/>
        </w:rPr>
        <w:lastRenderedPageBreak/>
        <w:t>числе в 2 раза увеличились поставки в Китай, Турцию и Иран.</w:t>
      </w:r>
    </w:p>
    <w:p w:rsidR="00513C81" w:rsidRPr="00D94F32" w:rsidRDefault="00D94F32">
      <w:pPr>
        <w:widowControl w:val="0"/>
        <w:ind w:firstLine="567"/>
        <w:jc w:val="both"/>
        <w:rPr>
          <w:sz w:val="28"/>
          <w:szCs w:val="28"/>
        </w:rPr>
      </w:pPr>
      <w:r w:rsidRPr="00D94F32">
        <w:rPr>
          <w:sz w:val="28"/>
          <w:szCs w:val="28"/>
        </w:rPr>
        <w:t>Сохраняются проблемы, связанные со сбытом лиственной древесины и топливных древесных гранул, возникают сложности с приобретением и обслуживанием техники и оборудования.</w:t>
      </w:r>
    </w:p>
    <w:p w:rsidR="00513C81" w:rsidRPr="00D94F32" w:rsidRDefault="00D94F32">
      <w:pPr>
        <w:widowControl w:val="0"/>
        <w:ind w:firstLine="567"/>
        <w:jc w:val="both"/>
        <w:rPr>
          <w:rFonts w:eastAsia="Calibri"/>
          <w:sz w:val="28"/>
          <w:szCs w:val="28"/>
        </w:rPr>
      </w:pPr>
      <w:r w:rsidRPr="00D94F32">
        <w:rPr>
          <w:sz w:val="28"/>
          <w:szCs w:val="28"/>
        </w:rPr>
        <w:t>Индекс производства в обработке древесины за январь-июнь 2025 года составил 89,6%. В с</w:t>
      </w:r>
      <w:r w:rsidRPr="00D94F32">
        <w:rPr>
          <w:sz w:val="28"/>
          <w:szCs w:val="28"/>
        </w:rPr>
        <w:t xml:space="preserve">тоимостном выражении за январь-июнь отгружено продукции на сумму 9 млрд. рублей. </w:t>
      </w:r>
      <w:r w:rsidRPr="00D94F32">
        <w:rPr>
          <w:rFonts w:eastAsia="Calibri"/>
          <w:sz w:val="28"/>
          <w:szCs w:val="28"/>
        </w:rPr>
        <w:t>В обработке древесины основное влияние на снижение производства оказало сокращение выпуска плитной продукции на 75,4% по сравнению с январем-июнем 2024 года. При этом выпуск п</w:t>
      </w:r>
      <w:r w:rsidRPr="00D94F32">
        <w:rPr>
          <w:rFonts w:eastAsia="Calibri"/>
          <w:sz w:val="28"/>
          <w:szCs w:val="28"/>
        </w:rPr>
        <w:t>иломатериалов увеличился на 10,3%, гранул топливных (пеллет) - на 32,4%.</w:t>
      </w:r>
    </w:p>
    <w:p w:rsidR="00513C81" w:rsidRPr="00D94F32" w:rsidRDefault="00D94F32">
      <w:pPr>
        <w:widowControl w:val="0"/>
        <w:ind w:firstLine="567"/>
        <w:jc w:val="both"/>
        <w:rPr>
          <w:sz w:val="28"/>
          <w:szCs w:val="28"/>
          <w:highlight w:val="white"/>
        </w:rPr>
      </w:pPr>
      <w:r w:rsidRPr="00D94F32">
        <w:rPr>
          <w:rFonts w:eastAsia="Calibri"/>
          <w:sz w:val="28"/>
          <w:szCs w:val="28"/>
        </w:rPr>
        <w:t xml:space="preserve">С 27 апреля 2024 года в результате пожара была остановлена деятельность ООО ДОК «Калевала» по производству ориентированно-стружечных плит. </w:t>
      </w:r>
      <w:r w:rsidRPr="00D94F32">
        <w:rPr>
          <w:sz w:val="28"/>
          <w:szCs w:val="28"/>
        </w:rPr>
        <w:t xml:space="preserve">Во </w:t>
      </w:r>
      <w:r w:rsidRPr="00D94F32">
        <w:rPr>
          <w:sz w:val="28"/>
          <w:szCs w:val="28"/>
          <w:highlight w:val="white"/>
        </w:rPr>
        <w:t>втором полугодии 2025 года планируется за</w:t>
      </w:r>
      <w:r w:rsidRPr="00D94F32">
        <w:rPr>
          <w:sz w:val="28"/>
          <w:szCs w:val="28"/>
          <w:highlight w:val="white"/>
        </w:rPr>
        <w:t xml:space="preserve">пуск производства на ООО ДОК «Калевала», при условии, что все оборудование будет смонтировано в срок и успешно пройдут пуско-наладочные работы. </w:t>
      </w:r>
    </w:p>
    <w:p w:rsidR="00513C81" w:rsidRPr="00D94F32" w:rsidRDefault="00D94F32">
      <w:pPr>
        <w:ind w:firstLine="567"/>
        <w:jc w:val="both"/>
        <w:rPr>
          <w:sz w:val="28"/>
          <w:szCs w:val="28"/>
          <w:highlight w:val="white"/>
        </w:rPr>
      </w:pPr>
      <w:r w:rsidRPr="00D94F32">
        <w:rPr>
          <w:sz w:val="28"/>
          <w:szCs w:val="28"/>
          <w:highlight w:val="white"/>
        </w:rPr>
        <w:t xml:space="preserve">Кроме того, собственником АО «Артенбор» (производство древесно-стружечных плит) принято решение о приостановке </w:t>
      </w:r>
      <w:r w:rsidRPr="00D94F32">
        <w:rPr>
          <w:sz w:val="28"/>
          <w:szCs w:val="28"/>
          <w:highlight w:val="white"/>
        </w:rPr>
        <w:t>с мая 2024 года деятельности завода в пгт.Пиндуши в связи с отсутствием спроса на продукцию и как следствие ухудшением экономического состояния предприятия.</w:t>
      </w:r>
    </w:p>
    <w:p w:rsidR="00513C81" w:rsidRPr="00D94F32" w:rsidRDefault="00D94F32">
      <w:pPr>
        <w:ind w:firstLine="567"/>
        <w:jc w:val="both"/>
        <w:rPr>
          <w:rFonts w:eastAsia="Calibri"/>
          <w:sz w:val="28"/>
          <w:szCs w:val="28"/>
          <w:highlight w:val="yellow"/>
        </w:rPr>
      </w:pPr>
      <w:r w:rsidRPr="00D94F32">
        <w:rPr>
          <w:rFonts w:eastAsia="Calibri"/>
          <w:sz w:val="28"/>
          <w:szCs w:val="28"/>
        </w:rPr>
        <w:t>С учетом складывающейся ситуации индекс производства по виду деятельности «Обработка древесины и пр</w:t>
      </w:r>
      <w:r w:rsidRPr="00D94F32">
        <w:rPr>
          <w:rFonts w:eastAsia="Calibri"/>
          <w:sz w:val="28"/>
          <w:szCs w:val="28"/>
        </w:rPr>
        <w:t xml:space="preserve">оизводство изделий из дерева и пробки, кроме мебели, производство изделий из соломки и материалов для плетения» в 2025 году оценивается на уровне </w:t>
      </w:r>
      <w:r w:rsidRPr="00D94F32">
        <w:rPr>
          <w:sz w:val="28"/>
          <w:szCs w:val="28"/>
          <w:highlight w:val="white"/>
        </w:rPr>
        <w:t>91,2%, при этом к 2028 году прогнозируется 111,5% (по базовому варианту).</w:t>
      </w:r>
    </w:p>
    <w:p w:rsidR="00513C81" w:rsidRPr="00D94F32" w:rsidRDefault="00D94F32">
      <w:pPr>
        <w:ind w:firstLine="567"/>
        <w:jc w:val="both"/>
        <w:rPr>
          <w:rFonts w:eastAsia="Calibri"/>
          <w:sz w:val="28"/>
          <w:szCs w:val="28"/>
        </w:rPr>
      </w:pPr>
      <w:r w:rsidRPr="00D94F32">
        <w:rPr>
          <w:rFonts w:eastAsia="Calibri"/>
          <w:sz w:val="28"/>
          <w:szCs w:val="28"/>
        </w:rPr>
        <w:t xml:space="preserve">По виду деятельности «производство </w:t>
      </w:r>
      <w:r w:rsidRPr="00D94F32">
        <w:rPr>
          <w:rFonts w:eastAsia="Calibri"/>
          <w:sz w:val="28"/>
          <w:szCs w:val="28"/>
        </w:rPr>
        <w:t xml:space="preserve">бумаги и бумажных изделий» индекс производства составил 95,3% к январю-июню 2024 года. Снизился объем выпуска мешков и сумок бумажных – на 12,8%, целлюлозы древесной на 4,8%, бумаги и картона – на 3,7%. </w:t>
      </w:r>
    </w:p>
    <w:p w:rsidR="00513C81" w:rsidRPr="00D94F32" w:rsidRDefault="00D94F32">
      <w:pPr>
        <w:ind w:firstLine="567"/>
        <w:jc w:val="both"/>
        <w:rPr>
          <w:rFonts w:eastAsia="Calibri"/>
          <w:sz w:val="28"/>
          <w:szCs w:val="28"/>
        </w:rPr>
      </w:pPr>
      <w:r w:rsidRPr="00D94F32">
        <w:rPr>
          <w:rFonts w:eastAsia="Calibri"/>
          <w:sz w:val="28"/>
          <w:szCs w:val="28"/>
        </w:rPr>
        <w:t>Учитывая сложившу</w:t>
      </w:r>
      <w:r w:rsidRPr="00D94F32">
        <w:rPr>
          <w:rFonts w:eastAsia="Calibri"/>
          <w:sz w:val="28"/>
          <w:szCs w:val="28"/>
        </w:rPr>
        <w:t>юся ситуацию на целлюлозно-бумажных предприятиях республики, индекс производства по виду деятельности «Производство бумаги и бумажных изделий» в 2025 году оценивается на уровне 95%, в 2026 году прогнозируется 100-101,5%, с трендом к 2028 году 101,5-102,8%.</w:t>
      </w:r>
    </w:p>
    <w:p w:rsidR="00513C81" w:rsidRPr="00D94F32" w:rsidRDefault="00D94F32">
      <w:pPr>
        <w:ind w:firstLine="567"/>
        <w:jc w:val="both"/>
        <w:rPr>
          <w:sz w:val="28"/>
          <w:szCs w:val="28"/>
        </w:rPr>
      </w:pPr>
      <w:r w:rsidRPr="00D94F32">
        <w:rPr>
          <w:sz w:val="28"/>
          <w:szCs w:val="28"/>
        </w:rPr>
        <w:t>По виду экономической деятельности «производство металлургическое» индекс производства за январь-июнь 2025 года к уровню января-июня 2024 года составил 82,4%.</w:t>
      </w:r>
    </w:p>
    <w:p w:rsidR="00513C81" w:rsidRPr="00D94F32" w:rsidRDefault="00D94F32">
      <w:pPr>
        <w:ind w:firstLine="709"/>
        <w:jc w:val="both"/>
        <w:rPr>
          <w:sz w:val="28"/>
          <w:szCs w:val="28"/>
        </w:rPr>
      </w:pPr>
      <w:r w:rsidRPr="00D94F32">
        <w:rPr>
          <w:sz w:val="28"/>
          <w:szCs w:val="28"/>
        </w:rPr>
        <w:t>АО «Вяртсильский метизный завод» объем производства метизной продукции в натуральном выражении з</w:t>
      </w:r>
      <w:r w:rsidRPr="00D94F32">
        <w:rPr>
          <w:sz w:val="28"/>
          <w:szCs w:val="28"/>
        </w:rPr>
        <w:t>а январь-июнь 2025 года составил 22569 т. (83,9% к январю-июню 2024 года), в стоимостном выражении – 1096314 тыс. руб. (73,2% к уровню января-июня 2024 года). Низкие показатели обусловлены планом головной организации и высокой конкуренцией на рынке метизов</w:t>
      </w:r>
      <w:r w:rsidRPr="00D94F32">
        <w:rPr>
          <w:sz w:val="28"/>
          <w:szCs w:val="28"/>
        </w:rPr>
        <w:t xml:space="preserve"> в Российской Федерации.</w:t>
      </w:r>
    </w:p>
    <w:p w:rsidR="00513C81" w:rsidRPr="00D94F32" w:rsidRDefault="00D94F32">
      <w:pPr>
        <w:ind w:firstLine="709"/>
        <w:jc w:val="both"/>
        <w:rPr>
          <w:sz w:val="28"/>
          <w:szCs w:val="28"/>
        </w:rPr>
      </w:pPr>
      <w:r w:rsidRPr="00D94F32">
        <w:rPr>
          <w:sz w:val="28"/>
          <w:szCs w:val="28"/>
        </w:rPr>
        <w:t>ООО «Литейный завод «Петрозаводскмаш» в январе-июне 2025 года произвело в рамках деятельности по чугунному литью продукцию на сумму 99,9 млн. рублей (48,4% к уровню января-июня 2024 года).</w:t>
      </w:r>
    </w:p>
    <w:p w:rsidR="00513C81" w:rsidRPr="00D94F32" w:rsidRDefault="00D94F32">
      <w:pPr>
        <w:ind w:firstLine="567"/>
        <w:jc w:val="both"/>
        <w:rPr>
          <w:sz w:val="28"/>
          <w:szCs w:val="28"/>
        </w:rPr>
      </w:pPr>
      <w:r w:rsidRPr="00D94F32">
        <w:rPr>
          <w:sz w:val="28"/>
          <w:szCs w:val="28"/>
        </w:rPr>
        <w:lastRenderedPageBreak/>
        <w:t>С учетом динамики металлургического произв</w:t>
      </w:r>
      <w:r w:rsidRPr="00D94F32">
        <w:rPr>
          <w:sz w:val="28"/>
          <w:szCs w:val="28"/>
        </w:rPr>
        <w:t>одства в текущем году и дальнейших планов работы предприятий индекс производства по данному виду деятельности в 2025 году оценивается на уровне 83%, в 2026 году прогнозируется 98-100%, в 2027 году – 99-101%, в 2028 году – 100-102 процентов.</w:t>
      </w:r>
    </w:p>
    <w:p w:rsidR="00513C81" w:rsidRPr="00D94F32" w:rsidRDefault="00D94F32">
      <w:pPr>
        <w:ind w:firstLine="567"/>
        <w:jc w:val="both"/>
        <w:rPr>
          <w:sz w:val="28"/>
          <w:szCs w:val="28"/>
        </w:rPr>
      </w:pPr>
      <w:r w:rsidRPr="00D94F32">
        <w:rPr>
          <w:sz w:val="28"/>
          <w:szCs w:val="28"/>
        </w:rPr>
        <w:t>Объем промышлен</w:t>
      </w:r>
      <w:r w:rsidRPr="00D94F32">
        <w:rPr>
          <w:sz w:val="28"/>
          <w:szCs w:val="28"/>
        </w:rPr>
        <w:t xml:space="preserve">ного производства по виду экономической деятельности «производство машин и оборудования, не включенных в другие группировки» по итогам января-июня 2025 года увеличился в 1,7 раза к уровню января-июня 2024 года в сопоставимых ценах. </w:t>
      </w:r>
    </w:p>
    <w:p w:rsidR="00513C81" w:rsidRPr="00D94F32" w:rsidRDefault="00D94F32">
      <w:pPr>
        <w:ind w:firstLine="709"/>
        <w:contextualSpacing/>
        <w:jc w:val="both"/>
        <w:rPr>
          <w:sz w:val="28"/>
          <w:szCs w:val="28"/>
        </w:rPr>
      </w:pPr>
      <w:r w:rsidRPr="00D94F32">
        <w:rPr>
          <w:sz w:val="28"/>
          <w:szCs w:val="28"/>
        </w:rPr>
        <w:t>В рамках реализации про</w:t>
      </w:r>
      <w:r w:rsidRPr="00D94F32">
        <w:rPr>
          <w:sz w:val="28"/>
          <w:szCs w:val="28"/>
        </w:rPr>
        <w:t xml:space="preserve">екта по созданию первого в Российской Федерации Центра компетенции по производству мелкогабаритных отливок для производства деталей и компонентов в машиностроении ООО «Литейный завод «Петрозаводскмаш» в 2023 году начало производство двигателей и запчастей </w:t>
      </w:r>
      <w:r w:rsidRPr="00D94F32">
        <w:rPr>
          <w:sz w:val="28"/>
          <w:szCs w:val="28"/>
        </w:rPr>
        <w:t>к ним. По итогам работы за январь-июнь 2025 года предприятие выпустило данной продукции на сумму 1339,6 млн. рублей (175,1% к аналогичному периоду 2024 года).</w:t>
      </w:r>
    </w:p>
    <w:p w:rsidR="00513C81" w:rsidRPr="00D94F32" w:rsidRDefault="00D94F32">
      <w:pPr>
        <w:ind w:firstLine="567"/>
        <w:jc w:val="both"/>
        <w:rPr>
          <w:sz w:val="28"/>
          <w:szCs w:val="28"/>
        </w:rPr>
      </w:pPr>
      <w:r w:rsidRPr="00D94F32">
        <w:rPr>
          <w:sz w:val="28"/>
          <w:szCs w:val="28"/>
        </w:rPr>
        <w:t>ООО «Амкодор-Онего» (дочерняя компания белорусского холдинга «Амкодор») продолжает реализацию инв</w:t>
      </w:r>
      <w:r w:rsidRPr="00D94F32">
        <w:rPr>
          <w:sz w:val="28"/>
          <w:szCs w:val="28"/>
        </w:rPr>
        <w:t>естиционного проекта по созданию и освоению высокотехнологичного, импортозамещающего производства лесозаготовительной техники на базе выкупленного имущества Онежского тракторного завода, признанного банкротом.</w:t>
      </w:r>
    </w:p>
    <w:p w:rsidR="00513C81" w:rsidRPr="00D94F32" w:rsidRDefault="00D94F32">
      <w:pPr>
        <w:ind w:firstLine="567"/>
        <w:jc w:val="both"/>
        <w:rPr>
          <w:sz w:val="28"/>
          <w:szCs w:val="28"/>
        </w:rPr>
      </w:pPr>
      <w:r w:rsidRPr="00D94F32">
        <w:rPr>
          <w:sz w:val="28"/>
          <w:szCs w:val="28"/>
        </w:rPr>
        <w:t>По итогам января-июня 2025 года произведено 13</w:t>
      </w:r>
      <w:r w:rsidRPr="00D94F32">
        <w:rPr>
          <w:sz w:val="28"/>
          <w:szCs w:val="28"/>
        </w:rPr>
        <w:t xml:space="preserve"> единиц техники на общую сумму 343,3 млн. рублей </w:t>
      </w:r>
      <w:r w:rsidRPr="00D94F32">
        <w:rPr>
          <w:sz w:val="28"/>
          <w:szCs w:val="28"/>
        </w:rPr>
        <w:t>(по информации предприятия)</w:t>
      </w:r>
      <w:r w:rsidRPr="00D94F32">
        <w:rPr>
          <w:sz w:val="28"/>
          <w:szCs w:val="28"/>
        </w:rPr>
        <w:t>.</w:t>
      </w:r>
    </w:p>
    <w:p w:rsidR="00513C81" w:rsidRPr="00D94F32" w:rsidRDefault="00D94F32">
      <w:pPr>
        <w:ind w:firstLine="567"/>
        <w:jc w:val="both"/>
        <w:rPr>
          <w:sz w:val="28"/>
          <w:szCs w:val="28"/>
        </w:rPr>
      </w:pPr>
      <w:r w:rsidRPr="00D94F32">
        <w:rPr>
          <w:sz w:val="28"/>
          <w:szCs w:val="28"/>
        </w:rPr>
        <w:t>Объем отгруженной продукции ООО «Инженерный центр пожарной робототехники «ЭФЭР» снизился на 10,6% по сравнению с январем-июнем 2024 года и составил 287,2 млн. рублей.</w:t>
      </w:r>
    </w:p>
    <w:p w:rsidR="00513C81" w:rsidRPr="00D94F32" w:rsidRDefault="00D94F32">
      <w:pPr>
        <w:ind w:firstLine="567"/>
        <w:jc w:val="both"/>
        <w:rPr>
          <w:sz w:val="28"/>
          <w:szCs w:val="28"/>
        </w:rPr>
      </w:pPr>
      <w:r w:rsidRPr="00D94F32">
        <w:rPr>
          <w:sz w:val="28"/>
          <w:szCs w:val="28"/>
        </w:rPr>
        <w:t>С учетом ди</w:t>
      </w:r>
      <w:r w:rsidRPr="00D94F32">
        <w:rPr>
          <w:sz w:val="28"/>
          <w:szCs w:val="28"/>
        </w:rPr>
        <w:t>намики производства машин и оборудования, не включенных в другие группировки в текущем году и дальнейших планов работы предприятий индекс производства по данному виду деятельности в 2025 году оценивается на уровне 170%, в 2026 году прогнозируется 102-106%,</w:t>
      </w:r>
      <w:r w:rsidRPr="00D94F32">
        <w:rPr>
          <w:sz w:val="28"/>
          <w:szCs w:val="28"/>
        </w:rPr>
        <w:t xml:space="preserve"> в 2027 году – 103-106,5%, в 2028 году – 104-108 процентов.</w:t>
      </w:r>
    </w:p>
    <w:p w:rsidR="00513C81" w:rsidRPr="00D94F32" w:rsidRDefault="00D94F32">
      <w:pPr>
        <w:ind w:firstLine="567"/>
        <w:jc w:val="both"/>
        <w:rPr>
          <w:sz w:val="28"/>
          <w:szCs w:val="28"/>
        </w:rPr>
      </w:pPr>
      <w:r w:rsidRPr="00D94F32">
        <w:rPr>
          <w:sz w:val="28"/>
          <w:szCs w:val="28"/>
        </w:rPr>
        <w:t>Индекс производства по виду экономической деятельности «обеспечение электрической энергией, газом и паром; кондиционирование воздуха» в 2024 году составил 104,7% к 2023 году, в январе-июне 2025 го</w:t>
      </w:r>
      <w:r w:rsidRPr="00D94F32">
        <w:rPr>
          <w:sz w:val="28"/>
          <w:szCs w:val="28"/>
        </w:rPr>
        <w:t>да – 90,2% к аналогичному периоду предыдущего года.</w:t>
      </w:r>
    </w:p>
    <w:p w:rsidR="00513C81" w:rsidRPr="00D94F32" w:rsidRDefault="00D94F32">
      <w:pPr>
        <w:widowControl w:val="0"/>
        <w:ind w:firstLine="567"/>
        <w:jc w:val="both"/>
        <w:rPr>
          <w:sz w:val="28"/>
          <w:szCs w:val="28"/>
        </w:rPr>
      </w:pPr>
      <w:r w:rsidRPr="00D94F32">
        <w:rPr>
          <w:sz w:val="28"/>
          <w:szCs w:val="28"/>
        </w:rPr>
        <w:t>Учитывая динамику водности, производства электроэнергии, а также производства и распределения газа, сводный индекс производства по виду деятельности «обеспечение электрической энергией, газом и паром; кон</w:t>
      </w:r>
      <w:r w:rsidRPr="00D94F32">
        <w:rPr>
          <w:sz w:val="28"/>
          <w:szCs w:val="28"/>
        </w:rPr>
        <w:t xml:space="preserve">диционирование воздуха» в 2025 году оценивается на уровне 101%. В прогнозном периоде индекс производства составит 102-102,5% ежегодно по базовому варианту. </w:t>
      </w:r>
    </w:p>
    <w:p w:rsidR="00513C81" w:rsidRPr="00D94F32" w:rsidRDefault="00D94F32">
      <w:pPr>
        <w:widowControl w:val="0"/>
        <w:ind w:firstLine="567"/>
        <w:jc w:val="both"/>
        <w:rPr>
          <w:sz w:val="28"/>
          <w:szCs w:val="28"/>
        </w:rPr>
      </w:pPr>
      <w:r w:rsidRPr="00D94F32">
        <w:rPr>
          <w:sz w:val="28"/>
          <w:szCs w:val="28"/>
        </w:rPr>
        <w:t>Индекс производства по виду экономической деятельности «водоснабжение; водоотведение, организация с</w:t>
      </w:r>
      <w:r w:rsidRPr="00D94F32">
        <w:rPr>
          <w:sz w:val="28"/>
          <w:szCs w:val="28"/>
        </w:rPr>
        <w:t>бора и утилизация отходов, деятельность по ликвидации загрязнений» в 2024 году составил 81,5 % к 2023 году, в январе-июне 2025 года – 104,2%. В 2025 году индекс производства ожидается на уровне 110%, в 2026-2028 годах прогнозируется 103-105% ежегодно по ба</w:t>
      </w:r>
      <w:r w:rsidRPr="00D94F32">
        <w:rPr>
          <w:sz w:val="28"/>
          <w:szCs w:val="28"/>
        </w:rPr>
        <w:t>зовому варианту.</w:t>
      </w:r>
    </w:p>
    <w:p w:rsidR="00513C81" w:rsidRPr="00D94F32" w:rsidRDefault="00D94F32">
      <w:pPr>
        <w:widowControl w:val="0"/>
        <w:ind w:firstLine="567"/>
        <w:jc w:val="both"/>
        <w:rPr>
          <w:sz w:val="28"/>
          <w:szCs w:val="28"/>
        </w:rPr>
      </w:pPr>
      <w:r w:rsidRPr="00D94F32">
        <w:rPr>
          <w:b/>
          <w:sz w:val="28"/>
          <w:szCs w:val="28"/>
        </w:rPr>
        <w:lastRenderedPageBreak/>
        <w:t xml:space="preserve">Агропромышленный комплекс (АПК) </w:t>
      </w:r>
      <w:r w:rsidRPr="00D94F32">
        <w:rPr>
          <w:sz w:val="28"/>
          <w:szCs w:val="28"/>
        </w:rPr>
        <w:t>Республики Карелия представляет собой совокупность взаимосвязанных отраслей, непосредственно обеспечивающих воспроизводство конечного продукта из сельскохозяйственного сырья. Основными видами деятельности АП</w:t>
      </w:r>
      <w:r w:rsidRPr="00D94F32">
        <w:rPr>
          <w:sz w:val="28"/>
          <w:szCs w:val="28"/>
        </w:rPr>
        <w:t>К республики являются сельское и рыбное хозяйство и производство пищевых продуктов.</w:t>
      </w:r>
    </w:p>
    <w:p w:rsidR="00513C81" w:rsidRPr="00D94F32" w:rsidRDefault="00D94F32">
      <w:pPr>
        <w:widowControl w:val="0"/>
        <w:ind w:firstLine="567"/>
        <w:jc w:val="both"/>
        <w:rPr>
          <w:sz w:val="28"/>
          <w:szCs w:val="28"/>
        </w:rPr>
      </w:pPr>
      <w:r w:rsidRPr="00D94F32">
        <w:rPr>
          <w:sz w:val="28"/>
          <w:szCs w:val="28"/>
        </w:rPr>
        <w:t>Особенностью регионального комплекса пищевой промышленности с учетом сложившихся затрат и высоких транспортных расходов является его ориентация в основном на внутренний пот</w:t>
      </w:r>
      <w:r w:rsidRPr="00D94F32">
        <w:rPr>
          <w:sz w:val="28"/>
          <w:szCs w:val="28"/>
        </w:rPr>
        <w:t>ребительский рынок. В связи с этим увеличение объемов производства ограничивается низкой плотностью населения республики, покупательной способностью жителей региона. Кроме того, ограничения связаны с недостаточностью расширения рынков сбыта и выходов на вн</w:t>
      </w:r>
      <w:r w:rsidRPr="00D94F32">
        <w:rPr>
          <w:sz w:val="28"/>
          <w:szCs w:val="28"/>
        </w:rPr>
        <w:t>ешние рынки, а также низкой конкурентоспособностью продукции за счет ценового фактора.</w:t>
      </w:r>
    </w:p>
    <w:p w:rsidR="00513C81" w:rsidRPr="00D94F32" w:rsidRDefault="00D94F32">
      <w:pPr>
        <w:widowControl w:val="0"/>
        <w:ind w:firstLine="567"/>
        <w:jc w:val="both"/>
        <w:rPr>
          <w:sz w:val="28"/>
          <w:szCs w:val="28"/>
        </w:rPr>
      </w:pPr>
      <w:r w:rsidRPr="00D94F32">
        <w:rPr>
          <w:sz w:val="28"/>
          <w:szCs w:val="28"/>
        </w:rPr>
        <w:t xml:space="preserve">В условиях санкционного давления </w:t>
      </w:r>
      <w:r w:rsidRPr="00D94F32">
        <w:rPr>
          <w:sz w:val="28"/>
          <w:szCs w:val="28"/>
        </w:rPr>
        <w:t>экспорто-ориентированные предприятия, осуществляющие деятельность в производстве пищевых продуктов, столкнулись со сложностями поставки</w:t>
      </w:r>
      <w:r w:rsidRPr="00D94F32">
        <w:rPr>
          <w:sz w:val="28"/>
          <w:szCs w:val="28"/>
        </w:rPr>
        <w:t xml:space="preserve"> продукции на внешние рынки (срыв контрактов, увеличение затрат на международную логистику), после чего поставки продукции были переориентированы на альтернативные рынки, например, с европейского на азиатский рынок (Казахстан, Турция и страны Закавказья), </w:t>
      </w:r>
      <w:r w:rsidRPr="00D94F32">
        <w:rPr>
          <w:sz w:val="28"/>
          <w:szCs w:val="28"/>
        </w:rPr>
        <w:t>а также на внутренний рынок.</w:t>
      </w:r>
    </w:p>
    <w:p w:rsidR="00513C81" w:rsidRPr="00D94F32" w:rsidRDefault="00D94F32">
      <w:pPr>
        <w:widowControl w:val="0"/>
        <w:ind w:firstLine="567"/>
        <w:jc w:val="both"/>
        <w:rPr>
          <w:sz w:val="28"/>
          <w:szCs w:val="28"/>
        </w:rPr>
      </w:pPr>
      <w:r w:rsidRPr="00D94F32">
        <w:rPr>
          <w:sz w:val="28"/>
          <w:szCs w:val="28"/>
        </w:rPr>
        <w:t xml:space="preserve">Индекс производства пищевых продуктов по полному кругу предприятий в 2024 году составил 98.2%. </w:t>
      </w:r>
    </w:p>
    <w:p w:rsidR="00513C81" w:rsidRPr="00D94F32" w:rsidRDefault="00D94F32">
      <w:pPr>
        <w:widowControl w:val="0"/>
        <w:ind w:firstLine="567"/>
        <w:jc w:val="both"/>
        <w:rPr>
          <w:sz w:val="28"/>
          <w:szCs w:val="28"/>
        </w:rPr>
      </w:pPr>
      <w:r w:rsidRPr="00D94F32">
        <w:rPr>
          <w:sz w:val="28"/>
          <w:szCs w:val="28"/>
        </w:rPr>
        <w:t xml:space="preserve">За январь-июнь 2025 года индекс производства пищевых продуктов составил 66,8% к январю-июню 2024 года. В отчетном периоде текущего </w:t>
      </w:r>
      <w:r w:rsidRPr="00D94F32">
        <w:rPr>
          <w:sz w:val="28"/>
          <w:szCs w:val="28"/>
        </w:rPr>
        <w:t>года отмечается снижение производства основных видов продукции на предприятиях республики.</w:t>
      </w:r>
    </w:p>
    <w:p w:rsidR="00513C81" w:rsidRPr="00D94F32" w:rsidRDefault="00D94F32">
      <w:pPr>
        <w:widowControl w:val="0"/>
        <w:ind w:firstLine="567"/>
        <w:jc w:val="both"/>
        <w:rPr>
          <w:sz w:val="28"/>
          <w:szCs w:val="28"/>
        </w:rPr>
      </w:pPr>
      <w:r w:rsidRPr="00D94F32">
        <w:rPr>
          <w:sz w:val="28"/>
          <w:szCs w:val="28"/>
        </w:rPr>
        <w:t>Индекс производства пищевых продуктов по 2025 году оценивается порядка 95% к 2024 году.</w:t>
      </w:r>
    </w:p>
    <w:p w:rsidR="00513C81" w:rsidRPr="00D94F32" w:rsidRDefault="00D94F32">
      <w:pPr>
        <w:widowControl w:val="0"/>
        <w:ind w:firstLine="567"/>
        <w:jc w:val="both"/>
        <w:rPr>
          <w:sz w:val="28"/>
          <w:szCs w:val="28"/>
        </w:rPr>
      </w:pPr>
      <w:r w:rsidRPr="00D94F32">
        <w:rPr>
          <w:sz w:val="28"/>
          <w:szCs w:val="28"/>
        </w:rPr>
        <w:t>На 2026-2028 годы по консервативному варианту индекс производства прогнозируе</w:t>
      </w:r>
      <w:r w:rsidRPr="00D94F32">
        <w:rPr>
          <w:sz w:val="28"/>
          <w:szCs w:val="28"/>
        </w:rPr>
        <w:t>тся в диапазоне 98,5-100,7% ежегодно  в сопоставимых ценах, по базовому варианту – 101-102%.</w:t>
      </w:r>
    </w:p>
    <w:p w:rsidR="00513C81" w:rsidRPr="00D94F32" w:rsidRDefault="00D94F32">
      <w:pPr>
        <w:widowControl w:val="0"/>
        <w:ind w:firstLine="567"/>
        <w:jc w:val="both"/>
        <w:rPr>
          <w:sz w:val="28"/>
          <w:szCs w:val="28"/>
        </w:rPr>
      </w:pPr>
      <w:r w:rsidRPr="00D94F32">
        <w:rPr>
          <w:sz w:val="28"/>
          <w:szCs w:val="28"/>
        </w:rPr>
        <w:t>Индекс производства напитков в 2024 году составил 115%, за январь-июнь текущего года – 127,7%. Производство ликероводочных изделий с содержанием спирта свыше 25% в</w:t>
      </w:r>
      <w:r w:rsidRPr="00D94F32">
        <w:rPr>
          <w:sz w:val="28"/>
          <w:szCs w:val="28"/>
        </w:rPr>
        <w:t>ключительно от объема готовой продукции увеличилось на 19,8%, производство минеральной природной воды снизилось на 4,5%. Выпуск алкогольной продукции на территории Республики Карелия в январе-июне 2025 года по данным Росалкогольрегулирования составил 106,3</w:t>
      </w:r>
      <w:r w:rsidRPr="00D94F32">
        <w:rPr>
          <w:sz w:val="28"/>
          <w:szCs w:val="28"/>
        </w:rPr>
        <w:t xml:space="preserve"> тыс. дал (97,2% к уровню января-июня 2024 года), снижение объемов производства связано с коммерческой политикой ведущего производителя алкогольной продукции на территории Республики Карелия ООО «АлкоВорлд». </w:t>
      </w:r>
    </w:p>
    <w:p w:rsidR="00513C81" w:rsidRPr="00D94F32" w:rsidRDefault="00D94F32">
      <w:pPr>
        <w:widowControl w:val="0"/>
        <w:ind w:firstLine="567"/>
        <w:jc w:val="both"/>
        <w:rPr>
          <w:sz w:val="28"/>
          <w:szCs w:val="28"/>
        </w:rPr>
      </w:pPr>
      <w:r w:rsidRPr="00D94F32">
        <w:rPr>
          <w:sz w:val="28"/>
          <w:szCs w:val="28"/>
        </w:rPr>
        <w:t xml:space="preserve"> По итогам 2025 года показатель оценивается на </w:t>
      </w:r>
      <w:r w:rsidRPr="00D94F32">
        <w:rPr>
          <w:sz w:val="28"/>
          <w:szCs w:val="28"/>
        </w:rPr>
        <w:t>уровне 100%. В 2026-2028 годах по консервативному варианту индекс производства напитков прогнозируется от 101 до 101,5% в сопоставимых ценах, по базовому варианту – 101,5-102%.</w:t>
      </w:r>
    </w:p>
    <w:p w:rsidR="00513C81" w:rsidRPr="00D94F32" w:rsidRDefault="00D94F32">
      <w:pPr>
        <w:widowControl w:val="0"/>
        <w:ind w:firstLine="567"/>
        <w:jc w:val="both"/>
        <w:rPr>
          <w:sz w:val="28"/>
          <w:szCs w:val="28"/>
        </w:rPr>
      </w:pPr>
      <w:r w:rsidRPr="00D94F32">
        <w:rPr>
          <w:sz w:val="28"/>
          <w:szCs w:val="28"/>
        </w:rPr>
        <w:t xml:space="preserve">Индекс производства сельскохозяйственной продукции в 2024 году </w:t>
      </w:r>
      <w:r w:rsidRPr="00D94F32">
        <w:rPr>
          <w:sz w:val="28"/>
          <w:szCs w:val="28"/>
        </w:rPr>
        <w:lastRenderedPageBreak/>
        <w:t>составил 98,1% к</w:t>
      </w:r>
      <w:r w:rsidRPr="00D94F32">
        <w:rPr>
          <w:sz w:val="28"/>
          <w:szCs w:val="28"/>
        </w:rPr>
        <w:t xml:space="preserve"> 2023 году (в 2023 году – 99,9% к 2022 году). </w:t>
      </w:r>
    </w:p>
    <w:p w:rsidR="00513C81" w:rsidRPr="00D94F32" w:rsidRDefault="00D94F32">
      <w:pPr>
        <w:widowControl w:val="0"/>
        <w:ind w:firstLine="567"/>
        <w:jc w:val="both"/>
        <w:rPr>
          <w:sz w:val="28"/>
          <w:szCs w:val="28"/>
        </w:rPr>
      </w:pPr>
      <w:r w:rsidRPr="00D94F32">
        <w:rPr>
          <w:sz w:val="28"/>
          <w:szCs w:val="28"/>
        </w:rPr>
        <w:t>За январь-июнь 2025 года хозяйствами всех категорий произведено продукции сельского хозяйства в фактических ценах на сумму 1969 млн.рублей (114,1% к аналогичному периоду 2024 года). Индекс производства продукц</w:t>
      </w:r>
      <w:r w:rsidRPr="00D94F32">
        <w:rPr>
          <w:sz w:val="28"/>
          <w:szCs w:val="28"/>
        </w:rPr>
        <w:t>ии сельского хозяйства в сопоставимых ценах по всем категориям хозяйств составил 96,1%. Снижение показателя связано с сокращением объемов производства молока, скота и птицы на убой в живом весе в хозяйствах в хозяйствах всех категорий.</w:t>
      </w:r>
    </w:p>
    <w:p w:rsidR="00513C81" w:rsidRPr="00D94F32" w:rsidRDefault="00D94F32">
      <w:pPr>
        <w:widowControl w:val="0"/>
        <w:ind w:firstLine="567"/>
        <w:jc w:val="both"/>
        <w:rPr>
          <w:sz w:val="28"/>
          <w:szCs w:val="28"/>
        </w:rPr>
      </w:pPr>
      <w:r w:rsidRPr="00D94F32">
        <w:rPr>
          <w:sz w:val="28"/>
          <w:szCs w:val="28"/>
        </w:rPr>
        <w:t xml:space="preserve">В 2025 </w:t>
      </w:r>
      <w:r w:rsidRPr="00D94F32">
        <w:rPr>
          <w:sz w:val="28"/>
          <w:szCs w:val="28"/>
        </w:rPr>
        <w:t>году индекс производства продукции сельского хозяйства в хозяйствах всех категорий оценивается на уровне 99,5-100%, в 2026-2028 годах прогнозируется в диапазоне: по консервативному варианту – 99-100,1% в сопоставимых ценах, по базовому варианту – 1</w:t>
      </w:r>
      <w:r w:rsidRPr="00D94F32">
        <w:rPr>
          <w:sz w:val="28"/>
          <w:szCs w:val="28"/>
        </w:rPr>
        <w:t>01-102,5%.</w:t>
      </w:r>
    </w:p>
    <w:p w:rsidR="00513C81" w:rsidRPr="00D94F32" w:rsidRDefault="00D94F32">
      <w:pPr>
        <w:widowControl w:val="0"/>
        <w:ind w:firstLine="567"/>
        <w:jc w:val="both"/>
        <w:rPr>
          <w:sz w:val="28"/>
          <w:szCs w:val="28"/>
        </w:rPr>
      </w:pPr>
      <w:r w:rsidRPr="00D94F32">
        <w:rPr>
          <w:sz w:val="28"/>
          <w:szCs w:val="28"/>
        </w:rPr>
        <w:t xml:space="preserve">В растениеводстве индекс производства оценивается по 2025 году на уровне 99,3%, в 2026-2028 </w:t>
      </w:r>
      <w:r w:rsidRPr="00D94F32">
        <w:rPr>
          <w:sz w:val="28"/>
          <w:szCs w:val="28"/>
        </w:rPr>
        <w:t>годах прогнозируется на уровне 98,9-100,1 % по консервативному варианту и 100-101,2 % по базовому варианту.</w:t>
      </w:r>
    </w:p>
    <w:p w:rsidR="00513C81" w:rsidRPr="00D94F32" w:rsidRDefault="00D94F32">
      <w:pPr>
        <w:widowControl w:val="0"/>
        <w:ind w:firstLine="567"/>
        <w:jc w:val="both"/>
        <w:rPr>
          <w:sz w:val="28"/>
          <w:szCs w:val="28"/>
        </w:rPr>
      </w:pPr>
      <w:r w:rsidRPr="00D94F32">
        <w:rPr>
          <w:sz w:val="28"/>
          <w:szCs w:val="28"/>
        </w:rPr>
        <w:t xml:space="preserve">В животноводстве индекс производства в 2025 году оценивается на уровне 99,7%. </w:t>
      </w:r>
    </w:p>
    <w:p w:rsidR="00513C81" w:rsidRPr="00D94F32" w:rsidRDefault="00D94F32">
      <w:pPr>
        <w:widowControl w:val="0"/>
        <w:ind w:firstLine="567"/>
        <w:jc w:val="both"/>
        <w:rPr>
          <w:sz w:val="28"/>
          <w:szCs w:val="28"/>
        </w:rPr>
      </w:pPr>
      <w:r w:rsidRPr="00D94F32">
        <w:rPr>
          <w:sz w:val="28"/>
          <w:szCs w:val="28"/>
        </w:rPr>
        <w:t>В 2024 году в связи со сложной финансово-экономической ситуацией, ряд  сельскохозяйственных организаций молочного направления частной формы собственности приняли решение о прекр</w:t>
      </w:r>
      <w:r w:rsidRPr="00D94F32">
        <w:rPr>
          <w:sz w:val="28"/>
          <w:szCs w:val="28"/>
        </w:rPr>
        <w:t>ащении производственной деятельности. Производство молока в хозяйствах всех категорий за 2024 год составило 60,4 тыс. тонн или 95,3% к 2023 году.  За январь-июнь 2025 года всеми категориями хозяйств произведено 31,4 тыс. тонн молока, что составляет 99% к а</w:t>
      </w:r>
      <w:r w:rsidRPr="00D94F32">
        <w:rPr>
          <w:sz w:val="28"/>
          <w:szCs w:val="28"/>
        </w:rPr>
        <w:t xml:space="preserve">налогичному периоду 2024 года. </w:t>
      </w:r>
    </w:p>
    <w:p w:rsidR="00513C81" w:rsidRPr="00D94F32" w:rsidRDefault="00D94F32">
      <w:pPr>
        <w:widowControl w:val="0"/>
        <w:ind w:firstLine="567"/>
        <w:jc w:val="both"/>
        <w:rPr>
          <w:sz w:val="28"/>
          <w:szCs w:val="28"/>
        </w:rPr>
      </w:pPr>
      <w:r w:rsidRPr="00D94F32">
        <w:rPr>
          <w:sz w:val="28"/>
          <w:szCs w:val="28"/>
        </w:rPr>
        <w:t xml:space="preserve">  По оценке, производство молока </w:t>
      </w:r>
      <w:r w:rsidRPr="00D94F32">
        <w:rPr>
          <w:sz w:val="28"/>
          <w:szCs w:val="28"/>
        </w:rPr>
        <w:t>в 2025 году составит 61,1 тыс. тонн, или 101,2% к 2024 году. В 2028 году производство молока прогнозируется: по консервативному варианту – 62 тыс. тонн (101,5% к 2025 году), по базовому вари</w:t>
      </w:r>
      <w:r w:rsidRPr="00D94F32">
        <w:rPr>
          <w:sz w:val="28"/>
          <w:szCs w:val="28"/>
        </w:rPr>
        <w:t xml:space="preserve">анту – 68 тыс. тонн (111,3%). Увеличение производства молока во всех категориях хозяйств к 2028 году до </w:t>
      </w:r>
      <w:r w:rsidRPr="00D94F32">
        <w:rPr>
          <w:sz w:val="28"/>
          <w:szCs w:val="28"/>
        </w:rPr>
        <w:t xml:space="preserve">указанного уровня </w:t>
      </w:r>
      <w:r w:rsidRPr="00D94F32">
        <w:rPr>
          <w:sz w:val="28"/>
          <w:szCs w:val="28"/>
        </w:rPr>
        <w:t xml:space="preserve">предполагается за счет увеличения поголовья, повышения удоев в действующих сельскохозяйственных предприятиях, реализации проектов </w:t>
      </w:r>
      <w:r w:rsidRPr="00D94F32">
        <w:rPr>
          <w:sz w:val="28"/>
          <w:szCs w:val="28"/>
        </w:rPr>
        <w:t>в</w:t>
      </w:r>
      <w:r w:rsidRPr="00D94F32">
        <w:rPr>
          <w:sz w:val="28"/>
          <w:szCs w:val="28"/>
        </w:rPr>
        <w:t xml:space="preserve"> сфере молочного животноводства. В сфере молочного животноводства в настоящее время осуществляется строительство роботизированной молочной фермы на 1200 голов дойного стада. Животноводческий объект планируется запустить в работу </w:t>
      </w:r>
      <w:r w:rsidRPr="00D94F32">
        <w:rPr>
          <w:sz w:val="28"/>
          <w:szCs w:val="28"/>
        </w:rPr>
        <w:t xml:space="preserve">в 2027 году. </w:t>
      </w:r>
    </w:p>
    <w:p w:rsidR="00513C81" w:rsidRPr="00D94F32" w:rsidRDefault="00D94F32">
      <w:pPr>
        <w:widowControl w:val="0"/>
        <w:ind w:firstLine="567"/>
        <w:jc w:val="both"/>
        <w:rPr>
          <w:sz w:val="28"/>
          <w:szCs w:val="28"/>
        </w:rPr>
      </w:pPr>
      <w:r w:rsidRPr="00D94F32">
        <w:rPr>
          <w:sz w:val="28"/>
          <w:szCs w:val="28"/>
        </w:rPr>
        <w:t xml:space="preserve"> Индекс прои</w:t>
      </w:r>
      <w:r w:rsidRPr="00D94F32">
        <w:rPr>
          <w:sz w:val="28"/>
          <w:szCs w:val="28"/>
        </w:rPr>
        <w:t>зводства в животноводстве в 2026-2028 годах прогнозируется по консервативному варианту на уровне 99,1-100,1%, по базовому – 102,0-103,8 %.</w:t>
      </w:r>
    </w:p>
    <w:p w:rsidR="00513C81" w:rsidRPr="00D94F32" w:rsidRDefault="00D94F32">
      <w:pPr>
        <w:widowControl w:val="0"/>
        <w:ind w:firstLine="567"/>
        <w:jc w:val="both"/>
        <w:rPr>
          <w:sz w:val="28"/>
          <w:szCs w:val="28"/>
        </w:rPr>
      </w:pPr>
      <w:r w:rsidRPr="00D94F32">
        <w:rPr>
          <w:sz w:val="28"/>
          <w:szCs w:val="28"/>
        </w:rPr>
        <w:t>Невысокие темпы роста отрасли обусловлены повышенными рисками, связанными с природно-климатическими условиями. При бл</w:t>
      </w:r>
      <w:r w:rsidRPr="00D94F32">
        <w:rPr>
          <w:sz w:val="28"/>
          <w:szCs w:val="28"/>
        </w:rPr>
        <w:t>агоприятных экономических и погодных условиях прогнозные показатели по росту продукции сельского хозяйства могут быть выше.</w:t>
      </w:r>
    </w:p>
    <w:p w:rsidR="00513C81" w:rsidRPr="00D94F32" w:rsidRDefault="00D94F32">
      <w:pPr>
        <w:ind w:firstLine="567"/>
        <w:jc w:val="both"/>
        <w:rPr>
          <w:sz w:val="28"/>
          <w:szCs w:val="28"/>
        </w:rPr>
      </w:pPr>
      <w:r w:rsidRPr="00D94F32">
        <w:rPr>
          <w:sz w:val="28"/>
          <w:szCs w:val="28"/>
        </w:rPr>
        <w:t>Достижению прогнозных показателей развития агропромышленного комплекса Республики Карелия в период 2026-2028 гг. будет способствоват</w:t>
      </w:r>
      <w:r w:rsidRPr="00D94F32">
        <w:rPr>
          <w:sz w:val="28"/>
          <w:szCs w:val="28"/>
        </w:rPr>
        <w:t xml:space="preserve">ь дальнейшее техническое переоснащение и модернизация производства организаций агропромышленного комплекса, что позволит обновлять и </w:t>
      </w:r>
      <w:r w:rsidRPr="00D94F32">
        <w:rPr>
          <w:sz w:val="28"/>
          <w:szCs w:val="28"/>
        </w:rPr>
        <w:lastRenderedPageBreak/>
        <w:t>расширять ассортиментную линейку выпускаемой продукции, быть более мобильными к конъюнктурному спросу рынка.</w:t>
      </w:r>
    </w:p>
    <w:p w:rsidR="00513C81" w:rsidRPr="00D94F32" w:rsidRDefault="00D94F32">
      <w:pPr>
        <w:shd w:val="clear" w:color="auto" w:fill="FFFFFF"/>
        <w:ind w:firstLine="567"/>
        <w:jc w:val="both"/>
        <w:rPr>
          <w:color w:val="000000"/>
          <w:sz w:val="28"/>
          <w:szCs w:val="28"/>
          <w:shd w:val="clear" w:color="auto" w:fill="FFFFFF"/>
        </w:rPr>
      </w:pPr>
      <w:r w:rsidRPr="00D94F32">
        <w:rPr>
          <w:color w:val="000000"/>
          <w:sz w:val="28"/>
          <w:szCs w:val="28"/>
          <w:shd w:val="clear" w:color="auto" w:fill="FFFFFF"/>
        </w:rPr>
        <w:t>По данным Каре</w:t>
      </w:r>
      <w:r w:rsidRPr="00D94F32">
        <w:rPr>
          <w:color w:val="000000"/>
          <w:sz w:val="28"/>
          <w:szCs w:val="28"/>
          <w:shd w:val="clear" w:color="auto" w:fill="FFFFFF"/>
        </w:rPr>
        <w:t xml:space="preserve">лиястата крупными и средними строительными организациями республики за 2024 год по виду деятельности </w:t>
      </w:r>
      <w:r w:rsidRPr="00D94F32">
        <w:rPr>
          <w:b/>
          <w:color w:val="000000"/>
          <w:sz w:val="28"/>
          <w:szCs w:val="28"/>
          <w:shd w:val="clear" w:color="auto" w:fill="FFFFFF"/>
        </w:rPr>
        <w:t xml:space="preserve">«Строительство» </w:t>
      </w:r>
      <w:r w:rsidRPr="00D94F32">
        <w:rPr>
          <w:color w:val="000000"/>
          <w:sz w:val="28"/>
          <w:szCs w:val="28"/>
          <w:shd w:val="clear" w:color="auto" w:fill="FFFFFF"/>
        </w:rPr>
        <w:t>выполнено работ на сумму 40997,7 млн. рублей или 61,9% в сопоставимых ценах к уровню 2023 года. Снижения показателя связано с завершением в</w:t>
      </w:r>
      <w:r w:rsidRPr="00D94F32">
        <w:rPr>
          <w:color w:val="000000"/>
          <w:sz w:val="28"/>
          <w:szCs w:val="28"/>
          <w:shd w:val="clear" w:color="auto" w:fill="FFFFFF"/>
        </w:rPr>
        <w:t xml:space="preserve"> 2023 году работ на 23 объектах, финансируемых из бюджетных средств. За счет инвестиций 2023 года в строительство республиканских дорог в эксплуатацию были введены 10 объектов дорожного хозяйства, 2023 год стал рекордным по введенным объектам.</w:t>
      </w:r>
    </w:p>
    <w:p w:rsidR="00513C81" w:rsidRPr="00D94F32" w:rsidRDefault="00D94F32">
      <w:pPr>
        <w:shd w:val="clear" w:color="auto" w:fill="FFFFFF"/>
        <w:ind w:firstLine="567"/>
        <w:jc w:val="both"/>
        <w:rPr>
          <w:color w:val="000000"/>
          <w:sz w:val="28"/>
          <w:szCs w:val="28"/>
          <w:shd w:val="clear" w:color="auto" w:fill="FFFFFF"/>
        </w:rPr>
      </w:pPr>
      <w:r w:rsidRPr="00D94F32">
        <w:rPr>
          <w:color w:val="000000"/>
          <w:sz w:val="28"/>
          <w:szCs w:val="28"/>
          <w:shd w:val="clear" w:color="auto" w:fill="FFFFFF"/>
        </w:rPr>
        <w:t>Значительную</w:t>
      </w:r>
      <w:r w:rsidRPr="00D94F32">
        <w:rPr>
          <w:color w:val="000000"/>
          <w:sz w:val="28"/>
          <w:szCs w:val="28"/>
          <w:shd w:val="clear" w:color="auto" w:fill="FFFFFF"/>
        </w:rPr>
        <w:t xml:space="preserve"> долю в 2023 году составляли инвестиции в строительство федеральных дорог, в том числе на строительство участка автомобильной дороги А-121 «Сортавала» км 445 – км 469, введенного в конце 2023 года.</w:t>
      </w:r>
    </w:p>
    <w:p w:rsidR="00513C81" w:rsidRPr="00D94F32" w:rsidRDefault="00D94F32">
      <w:pPr>
        <w:shd w:val="clear" w:color="auto" w:fill="FFFFFF"/>
        <w:ind w:firstLine="567"/>
        <w:jc w:val="both"/>
        <w:rPr>
          <w:color w:val="000000"/>
          <w:sz w:val="28"/>
          <w:szCs w:val="28"/>
          <w:shd w:val="clear" w:color="auto" w:fill="FFFFFF"/>
        </w:rPr>
      </w:pPr>
      <w:r w:rsidRPr="00D94F32">
        <w:rPr>
          <w:color w:val="000000"/>
          <w:sz w:val="28"/>
          <w:szCs w:val="28"/>
          <w:shd w:val="clear" w:color="auto" w:fill="FFFFFF"/>
        </w:rPr>
        <w:t>В январе-июне 2025 года объем выполненных работ по виду де</w:t>
      </w:r>
      <w:r w:rsidRPr="00D94F32">
        <w:rPr>
          <w:color w:val="000000"/>
          <w:sz w:val="28"/>
          <w:szCs w:val="28"/>
          <w:shd w:val="clear" w:color="auto" w:fill="FFFFFF"/>
        </w:rPr>
        <w:t>ятельности «Строительство» составил 17362,6 млн. руб. или 123% в сопоставимых ценах по отношению к уровню соответствующего периода 2024 года и по году оценивается в сумме 53900 млн. руб. при индексе физического объема работ 126,5%.</w:t>
      </w:r>
    </w:p>
    <w:p w:rsidR="00513C81" w:rsidRPr="00D94F32" w:rsidRDefault="00D94F32">
      <w:pPr>
        <w:shd w:val="clear" w:color="auto" w:fill="FFFFFF"/>
        <w:ind w:firstLine="567"/>
        <w:jc w:val="both"/>
        <w:rPr>
          <w:color w:val="000000"/>
          <w:sz w:val="28"/>
          <w:szCs w:val="28"/>
          <w:shd w:val="clear" w:color="auto" w:fill="FFFFFF"/>
        </w:rPr>
      </w:pPr>
      <w:r w:rsidRPr="00D94F32">
        <w:rPr>
          <w:color w:val="000000"/>
          <w:sz w:val="28"/>
          <w:szCs w:val="28"/>
          <w:shd w:val="clear" w:color="auto" w:fill="FFFFFF"/>
        </w:rPr>
        <w:t xml:space="preserve">К 2028 году рост объема </w:t>
      </w:r>
      <w:r w:rsidRPr="00D94F32">
        <w:rPr>
          <w:color w:val="000000"/>
          <w:sz w:val="28"/>
          <w:szCs w:val="28"/>
          <w:shd w:val="clear" w:color="auto" w:fill="FFFFFF"/>
        </w:rPr>
        <w:t xml:space="preserve">работ по виду деятельности «Строительство» прогнозируется до 70730 млн. руб. по базовому варианту при индексе физического объема </w:t>
      </w:r>
      <w:r w:rsidRPr="00D94F32">
        <w:rPr>
          <w:color w:val="000000"/>
          <w:sz w:val="28"/>
          <w:szCs w:val="28"/>
          <w:shd w:val="clear" w:color="auto" w:fill="FFFFFF"/>
        </w:rPr>
        <w:t>105% к предыдущему году.</w:t>
      </w:r>
    </w:p>
    <w:p w:rsidR="00513C81" w:rsidRPr="00D94F32" w:rsidRDefault="00D94F32">
      <w:pPr>
        <w:shd w:val="clear" w:color="auto" w:fill="FFFFFF"/>
        <w:ind w:firstLine="567"/>
        <w:jc w:val="both"/>
        <w:rPr>
          <w:color w:val="000000"/>
          <w:sz w:val="28"/>
          <w:szCs w:val="28"/>
          <w:shd w:val="clear" w:color="auto" w:fill="FFFFFF"/>
        </w:rPr>
      </w:pPr>
      <w:r w:rsidRPr="00D94F32">
        <w:rPr>
          <w:color w:val="000000"/>
          <w:sz w:val="28"/>
          <w:szCs w:val="28"/>
          <w:shd w:val="clear" w:color="auto" w:fill="FFFFFF"/>
        </w:rPr>
        <w:t>За 2024 год по данным </w:t>
      </w:r>
      <w:r w:rsidRPr="00D94F32">
        <w:rPr>
          <w:color w:val="000000"/>
          <w:sz w:val="28"/>
          <w:szCs w:val="28"/>
          <w:shd w:val="clear" w:color="auto" w:fill="FFFFFF"/>
        </w:rPr>
        <w:t>Карелиястат введено 333,9 тыс. кв. м. жилой площади, что на 6,9% выше уровня 2</w:t>
      </w:r>
      <w:r w:rsidRPr="00D94F32">
        <w:rPr>
          <w:color w:val="000000"/>
          <w:sz w:val="28"/>
          <w:szCs w:val="28"/>
          <w:shd w:val="clear" w:color="auto" w:fill="FFFFFF"/>
        </w:rPr>
        <w:t>023 года (312,4 тыс. кв.м.) и на 1,8% планового показателя. При этом общая площадь жилых помещений, приходящаяся в среднем на одного жителя республики по итогам 2024 года, составила 34,6 кв. метров на человека, что на 5,2 кв. метров больше, чем в среднем п</w:t>
      </w:r>
      <w:r w:rsidRPr="00D94F32">
        <w:rPr>
          <w:color w:val="000000"/>
          <w:sz w:val="28"/>
          <w:szCs w:val="28"/>
          <w:shd w:val="clear" w:color="auto" w:fill="FFFFFF"/>
        </w:rPr>
        <w:t xml:space="preserve">о Российской Федерации. </w:t>
      </w:r>
    </w:p>
    <w:p w:rsidR="00513C81" w:rsidRPr="00D94F32" w:rsidRDefault="00D94F32">
      <w:pPr>
        <w:shd w:val="clear" w:color="auto" w:fill="FFFFFF"/>
        <w:ind w:firstLine="567"/>
        <w:jc w:val="both"/>
        <w:rPr>
          <w:color w:val="000000"/>
          <w:sz w:val="28"/>
          <w:szCs w:val="28"/>
          <w:shd w:val="clear" w:color="auto" w:fill="FFFFFF"/>
        </w:rPr>
      </w:pPr>
      <w:r w:rsidRPr="00D94F32">
        <w:rPr>
          <w:color w:val="000000"/>
          <w:sz w:val="28"/>
          <w:szCs w:val="28"/>
          <w:shd w:val="clear" w:color="auto" w:fill="FFFFFF"/>
        </w:rPr>
        <w:t>В январе-июне 2025 года на территории республики введено в действие 197,5 тыс. кв. м. общей площади жилых домов, что на 20,5% больше, чем за январь-июнь 2024 года.</w:t>
      </w:r>
    </w:p>
    <w:p w:rsidR="00513C81" w:rsidRPr="00D94F32" w:rsidRDefault="00D94F32">
      <w:pPr>
        <w:shd w:val="clear" w:color="auto" w:fill="FFFFFF"/>
        <w:ind w:firstLine="567"/>
        <w:jc w:val="both"/>
        <w:rPr>
          <w:color w:val="000000"/>
          <w:sz w:val="28"/>
          <w:szCs w:val="28"/>
          <w:shd w:val="clear" w:color="auto" w:fill="FFFFFF"/>
        </w:rPr>
      </w:pPr>
      <w:r w:rsidRPr="00D94F32">
        <w:rPr>
          <w:color w:val="000000"/>
          <w:sz w:val="28"/>
          <w:szCs w:val="28"/>
          <w:shd w:val="clear" w:color="auto" w:fill="FFFFFF"/>
        </w:rPr>
        <w:t>Прогнозные значения ввода жилья указаны в соответствии с Соглашение</w:t>
      </w:r>
      <w:r w:rsidRPr="00D94F32">
        <w:rPr>
          <w:color w:val="000000"/>
          <w:sz w:val="28"/>
          <w:szCs w:val="28"/>
          <w:shd w:val="clear" w:color="auto" w:fill="FFFFFF"/>
        </w:rPr>
        <w:t xml:space="preserve">м о реализации регионального проекта «Жилье» на территории Республики Карелия, заключенным с Министерством строительства и жилищно-коммунального хозяйства Российской Федерации: в 2025 год – 300 тыс.кв.м., в 2026 году - 315,0 тыс. кв.м.,  в 2027 году - 328 </w:t>
      </w:r>
      <w:r w:rsidRPr="00D94F32">
        <w:rPr>
          <w:color w:val="000000"/>
          <w:sz w:val="28"/>
          <w:szCs w:val="28"/>
          <w:shd w:val="clear" w:color="auto" w:fill="FFFFFF"/>
        </w:rPr>
        <w:t xml:space="preserve">тыс. кв.м., в 2028 году – 331 тыс. кв.м. </w:t>
      </w:r>
    </w:p>
    <w:p w:rsidR="00513C81" w:rsidRPr="00D94F32" w:rsidRDefault="00D94F32">
      <w:pPr>
        <w:ind w:firstLine="567"/>
        <w:jc w:val="both"/>
        <w:rPr>
          <w:color w:val="000000"/>
          <w:sz w:val="28"/>
          <w:szCs w:val="28"/>
        </w:rPr>
      </w:pPr>
      <w:r w:rsidRPr="00D94F32">
        <w:rPr>
          <w:color w:val="000000"/>
          <w:sz w:val="28"/>
          <w:szCs w:val="28"/>
          <w:lang w:eastAsia="en-US"/>
        </w:rPr>
        <w:t xml:space="preserve">В 2024 году оборот </w:t>
      </w:r>
      <w:r w:rsidRPr="00D94F32">
        <w:rPr>
          <w:b/>
          <w:color w:val="000000"/>
          <w:sz w:val="28"/>
          <w:szCs w:val="28"/>
          <w:lang w:eastAsia="en-US"/>
        </w:rPr>
        <w:t>розничной торговли</w:t>
      </w:r>
      <w:r w:rsidRPr="00D94F32">
        <w:rPr>
          <w:color w:val="000000"/>
          <w:sz w:val="28"/>
          <w:szCs w:val="28"/>
          <w:lang w:eastAsia="en-US"/>
        </w:rPr>
        <w:t xml:space="preserve"> увеличился на 1,3% по сравнению с 2023 годом в сопоставимых ценах и составил 199,6 млрд. рублей. Основными факторами роста оборота розничной торговли в  2024 году являются рост</w:t>
      </w:r>
      <w:r w:rsidRPr="00D94F32">
        <w:rPr>
          <w:color w:val="000000"/>
          <w:sz w:val="28"/>
          <w:szCs w:val="28"/>
          <w:lang w:eastAsia="en-US"/>
        </w:rPr>
        <w:t xml:space="preserve"> покупательной способности населения за счет роста реальных доходов, а также развитие онлайн-торговли и использование цифровых технологий в ритейле (например, доставка на дом).</w:t>
      </w:r>
    </w:p>
    <w:p w:rsidR="00513C81" w:rsidRPr="00D94F32" w:rsidRDefault="00D94F32">
      <w:pPr>
        <w:ind w:firstLine="567"/>
        <w:jc w:val="both"/>
        <w:rPr>
          <w:color w:val="000000"/>
          <w:sz w:val="28"/>
          <w:szCs w:val="28"/>
        </w:rPr>
      </w:pPr>
      <w:r w:rsidRPr="00D94F32">
        <w:rPr>
          <w:color w:val="000000"/>
          <w:sz w:val="28"/>
          <w:szCs w:val="28"/>
          <w:lang w:eastAsia="en-US"/>
        </w:rPr>
        <w:t xml:space="preserve">За январь-июнь 2025 года оборот розничной торговли составил 107,4 млрд.рублей, </w:t>
      </w:r>
      <w:r w:rsidRPr="00D94F32">
        <w:rPr>
          <w:color w:val="000000"/>
          <w:sz w:val="28"/>
          <w:szCs w:val="28"/>
          <w:lang w:eastAsia="en-US"/>
        </w:rPr>
        <w:t>или 105% к уровню соответствующего периода предыдущего года в сопоставимых ценах.</w:t>
      </w:r>
    </w:p>
    <w:p w:rsidR="00513C81" w:rsidRPr="00D94F32" w:rsidRDefault="00D94F32">
      <w:pPr>
        <w:ind w:firstLine="567"/>
        <w:jc w:val="both"/>
        <w:rPr>
          <w:color w:val="000000"/>
          <w:sz w:val="28"/>
          <w:szCs w:val="28"/>
        </w:rPr>
      </w:pPr>
      <w:r w:rsidRPr="00D94F32">
        <w:rPr>
          <w:color w:val="000000"/>
          <w:sz w:val="28"/>
          <w:szCs w:val="28"/>
          <w:lang w:eastAsia="en-US"/>
        </w:rPr>
        <w:t xml:space="preserve">В 2025 году ожидается увеличение физического оборота розничной торговли к 2024 году на 3,2% (222,5 млрд.руб.). </w:t>
      </w:r>
    </w:p>
    <w:p w:rsidR="00513C81" w:rsidRPr="00D94F32" w:rsidRDefault="00D94F32">
      <w:pPr>
        <w:ind w:firstLine="567"/>
        <w:jc w:val="both"/>
        <w:rPr>
          <w:color w:val="000000"/>
          <w:sz w:val="28"/>
          <w:szCs w:val="28"/>
        </w:rPr>
      </w:pPr>
      <w:r w:rsidRPr="00D94F32">
        <w:rPr>
          <w:color w:val="000000"/>
          <w:sz w:val="28"/>
          <w:szCs w:val="28"/>
          <w:lang w:eastAsia="en-US"/>
        </w:rPr>
        <w:lastRenderedPageBreak/>
        <w:t xml:space="preserve">В среднесрочной перспективе прогнозируется увеличение оборота </w:t>
      </w:r>
      <w:r w:rsidRPr="00D94F32">
        <w:rPr>
          <w:color w:val="000000"/>
          <w:sz w:val="28"/>
          <w:szCs w:val="28"/>
          <w:lang w:eastAsia="en-US"/>
        </w:rPr>
        <w:t xml:space="preserve">розничной торговли на 2,5-3,5% </w:t>
      </w:r>
      <w:r w:rsidRPr="00D94F32">
        <w:rPr>
          <w:color w:val="000000"/>
          <w:sz w:val="28"/>
          <w:szCs w:val="28"/>
          <w:lang w:eastAsia="en-US"/>
        </w:rPr>
        <w:t xml:space="preserve">ежегодно по базовому варианту. </w:t>
      </w:r>
    </w:p>
    <w:p w:rsidR="00513C81" w:rsidRPr="00D94F32" w:rsidRDefault="00D94F32">
      <w:pPr>
        <w:ind w:firstLine="567"/>
        <w:jc w:val="both"/>
        <w:rPr>
          <w:color w:val="000000"/>
          <w:sz w:val="28"/>
          <w:szCs w:val="28"/>
        </w:rPr>
      </w:pPr>
      <w:r w:rsidRPr="00D94F32">
        <w:rPr>
          <w:color w:val="000000"/>
          <w:sz w:val="28"/>
          <w:szCs w:val="28"/>
          <w:lang w:eastAsia="en-US"/>
        </w:rPr>
        <w:t xml:space="preserve">В 2024 году населению оказано </w:t>
      </w:r>
      <w:r w:rsidRPr="00D94F32">
        <w:rPr>
          <w:b/>
          <w:color w:val="000000"/>
          <w:sz w:val="28"/>
          <w:szCs w:val="28"/>
          <w:lang w:eastAsia="en-US"/>
        </w:rPr>
        <w:t>платных услуг</w:t>
      </w:r>
      <w:r w:rsidRPr="00D94F32">
        <w:rPr>
          <w:color w:val="000000"/>
          <w:sz w:val="28"/>
          <w:szCs w:val="28"/>
          <w:lang w:eastAsia="en-US"/>
        </w:rPr>
        <w:t xml:space="preserve"> на сумму 62,6 млрд.рублей, что на 2,7% выше уровня предшествующего года в сопоставимых ценах. На увеличение данного показателя положительно повлиял,</w:t>
      </w:r>
      <w:r w:rsidRPr="00D94F32">
        <w:rPr>
          <w:color w:val="000000"/>
          <w:sz w:val="28"/>
          <w:szCs w:val="28"/>
          <w:lang w:eastAsia="en-US"/>
        </w:rPr>
        <w:t xml:space="preserve"> в том числе рост числа самозанятых граждан, оказывающих платные услуги населению, внедрение новых технологий в оказание услуг (например, онлайн-сервисы), развитие туристической инфраструктуры, изменение потребительских предпочтений.</w:t>
      </w:r>
    </w:p>
    <w:p w:rsidR="00513C81" w:rsidRPr="00D94F32" w:rsidRDefault="00D94F32">
      <w:pPr>
        <w:ind w:firstLine="567"/>
        <w:jc w:val="both"/>
        <w:rPr>
          <w:color w:val="000000"/>
          <w:sz w:val="28"/>
          <w:szCs w:val="28"/>
        </w:rPr>
      </w:pPr>
      <w:r w:rsidRPr="00D94F32">
        <w:rPr>
          <w:color w:val="000000"/>
          <w:sz w:val="28"/>
          <w:szCs w:val="28"/>
          <w:lang w:eastAsia="en-US"/>
        </w:rPr>
        <w:t>В 2025 году объем плат</w:t>
      </w:r>
      <w:r w:rsidRPr="00D94F32">
        <w:rPr>
          <w:color w:val="000000"/>
          <w:sz w:val="28"/>
          <w:szCs w:val="28"/>
          <w:lang w:eastAsia="en-US"/>
        </w:rPr>
        <w:t>ных услуг населению оценивается 70,8 млрд.руб. с ростом на 1% в сопоставимых ценах к прошлому году.</w:t>
      </w:r>
    </w:p>
    <w:p w:rsidR="00513C81" w:rsidRPr="00D94F32" w:rsidRDefault="00D94F32">
      <w:pPr>
        <w:ind w:firstLine="567"/>
        <w:jc w:val="both"/>
        <w:rPr>
          <w:color w:val="000000"/>
          <w:sz w:val="28"/>
          <w:szCs w:val="28"/>
          <w:lang w:eastAsia="en-US"/>
        </w:rPr>
      </w:pPr>
      <w:r w:rsidRPr="00D94F32">
        <w:rPr>
          <w:color w:val="000000"/>
          <w:sz w:val="28"/>
          <w:szCs w:val="28"/>
          <w:lang w:eastAsia="en-US"/>
        </w:rPr>
        <w:t xml:space="preserve">В среднесрочной перспективе на динамику показателя будут оказывать влияние </w:t>
      </w:r>
      <w:r w:rsidRPr="00D94F32">
        <w:rPr>
          <w:color w:val="000000"/>
          <w:sz w:val="28"/>
          <w:szCs w:val="28"/>
          <w:lang w:eastAsia="en-US"/>
        </w:rPr>
        <w:t>рост доходов населения, ослабление инфляционного давления, привлекательность усл</w:t>
      </w:r>
      <w:r w:rsidRPr="00D94F32">
        <w:rPr>
          <w:color w:val="000000"/>
          <w:sz w:val="28"/>
          <w:szCs w:val="28"/>
          <w:lang w:eastAsia="en-US"/>
        </w:rPr>
        <w:t xml:space="preserve">уг в связи с внедрением новых технологий. На 2026-2028 годы предусматривается ежегодный темп роста физических объемов платных услуг населению </w:t>
      </w:r>
      <w:r w:rsidRPr="00D94F32">
        <w:rPr>
          <w:color w:val="000000"/>
          <w:sz w:val="28"/>
          <w:szCs w:val="28"/>
          <w:lang w:eastAsia="en-US"/>
        </w:rPr>
        <w:t xml:space="preserve">в базовом варианте 102,5-103% и умеренный ежегодный темп роста 100-101,5% в консервативном варианте. К 2028 году </w:t>
      </w:r>
      <w:r w:rsidRPr="00D94F32">
        <w:rPr>
          <w:color w:val="000000"/>
          <w:sz w:val="28"/>
          <w:szCs w:val="28"/>
          <w:lang w:eastAsia="en-US"/>
        </w:rPr>
        <w:t>прогнозируется увеличение объема оказанных населению платных услуг до 84,2-89,5 млрд.рублей.</w:t>
      </w:r>
    </w:p>
    <w:p w:rsidR="00513C81" w:rsidRPr="00D94F32" w:rsidRDefault="00D94F32">
      <w:pPr>
        <w:ind w:firstLine="567"/>
        <w:jc w:val="both"/>
        <w:rPr>
          <w:color w:val="000000"/>
          <w:sz w:val="28"/>
          <w:szCs w:val="28"/>
        </w:rPr>
      </w:pPr>
      <w:r w:rsidRPr="00D94F32">
        <w:rPr>
          <w:color w:val="000000"/>
          <w:sz w:val="28"/>
          <w:szCs w:val="28"/>
          <w:lang w:eastAsia="en-US"/>
        </w:rPr>
        <w:t xml:space="preserve">Ожидается, что основными факторами, влияющими на положительную динамику прогнозируемых показателей в перспективе будут являться: экономический рост региона, </w:t>
      </w:r>
      <w:r w:rsidRPr="00D94F32">
        <w:rPr>
          <w:color w:val="000000"/>
          <w:sz w:val="28"/>
          <w:szCs w:val="28"/>
        </w:rPr>
        <w:t>реализ</w:t>
      </w:r>
      <w:r w:rsidRPr="00D94F32">
        <w:rPr>
          <w:color w:val="000000"/>
          <w:sz w:val="28"/>
          <w:szCs w:val="28"/>
        </w:rPr>
        <w:t>ация программных мероприятий развития торговли в Карелии на период до 2030 года (в настоящее время региональная программа развития торговли в Республике Карелия находится в стадии согласования), рост интереса покупателей к новым инновационным товарам, даль</w:t>
      </w:r>
      <w:r w:rsidRPr="00D94F32">
        <w:rPr>
          <w:color w:val="000000"/>
          <w:sz w:val="28"/>
          <w:szCs w:val="28"/>
        </w:rPr>
        <w:t>нейшее развитие онла</w:t>
      </w:r>
      <w:bookmarkStart w:id="4" w:name="_GoBack"/>
      <w:bookmarkEnd w:id="4"/>
      <w:r w:rsidRPr="00D94F32">
        <w:rPr>
          <w:color w:val="000000"/>
          <w:sz w:val="28"/>
          <w:szCs w:val="28"/>
        </w:rPr>
        <w:t>йн-торговли, развитие туристического потенциала республики, развитие инфраструктуры розничной торговли, в том числе торговых объектов местного значения, рынков и ярмарок и другие факторы.</w:t>
      </w:r>
    </w:p>
    <w:p w:rsidR="00513C81" w:rsidRPr="00D94F32" w:rsidRDefault="00D94F32">
      <w:pPr>
        <w:ind w:firstLine="567"/>
        <w:jc w:val="both"/>
        <w:rPr>
          <w:color w:val="000000"/>
          <w:sz w:val="28"/>
          <w:szCs w:val="28"/>
        </w:rPr>
      </w:pPr>
      <w:r w:rsidRPr="00D94F32">
        <w:rPr>
          <w:color w:val="000000"/>
          <w:sz w:val="28"/>
          <w:szCs w:val="28"/>
          <w:lang w:eastAsia="en-US"/>
        </w:rPr>
        <w:t>Сдерживающими факторами развития торговли и услу</w:t>
      </w:r>
      <w:r w:rsidRPr="00D94F32">
        <w:rPr>
          <w:color w:val="000000"/>
          <w:sz w:val="28"/>
          <w:szCs w:val="28"/>
          <w:lang w:eastAsia="en-US"/>
        </w:rPr>
        <w:t>г населению продолжают оставаться: неопределённость экономической ситуации в международном поле, нехватка финансовых ресурсов, дорогое обслуживание кредитных продуктов, возрастающая налоговая нагрузка на бизнес, нехватка квалифицированных кадров в сельской</w:t>
      </w:r>
      <w:r w:rsidRPr="00D94F32">
        <w:rPr>
          <w:color w:val="000000"/>
          <w:sz w:val="28"/>
          <w:szCs w:val="28"/>
          <w:lang w:eastAsia="en-US"/>
        </w:rPr>
        <w:t xml:space="preserve"> местности, непривлекательность отдалённых территорий и территорий с низкой плотностью населения, низкий покупательский спрос для ведения торгового бизнеса, возможное снижение реальных доходов населения в условиях сохранения высокой инфляции.</w:t>
      </w:r>
    </w:p>
    <w:p w:rsidR="00513C81" w:rsidRPr="00D94F32" w:rsidRDefault="00D94F32">
      <w:pPr>
        <w:ind w:firstLine="567"/>
        <w:jc w:val="both"/>
        <w:rPr>
          <w:sz w:val="28"/>
          <w:szCs w:val="28"/>
        </w:rPr>
      </w:pPr>
      <w:r w:rsidRPr="00D94F32">
        <w:rPr>
          <w:rFonts w:eastAsia="Calibri"/>
          <w:color w:val="000000"/>
          <w:sz w:val="28"/>
          <w:szCs w:val="28"/>
        </w:rPr>
        <w:t>С учетом прог</w:t>
      </w:r>
      <w:r w:rsidRPr="00D94F32">
        <w:rPr>
          <w:rFonts w:eastAsia="Calibri"/>
          <w:color w:val="000000"/>
          <w:sz w:val="28"/>
          <w:szCs w:val="28"/>
        </w:rPr>
        <w:t>нозируемой</w:t>
      </w:r>
      <w:r w:rsidRPr="00D94F32">
        <w:rPr>
          <w:sz w:val="28"/>
          <w:szCs w:val="28"/>
        </w:rPr>
        <w:t xml:space="preserve"> ситуации в отдельных видах экономической деятельности определялись основные </w:t>
      </w:r>
      <w:r w:rsidRPr="00D94F32">
        <w:rPr>
          <w:b/>
          <w:sz w:val="28"/>
          <w:szCs w:val="28"/>
        </w:rPr>
        <w:t>бюджетообразующие показатели</w:t>
      </w:r>
      <w:r w:rsidRPr="00D94F32">
        <w:rPr>
          <w:sz w:val="28"/>
          <w:szCs w:val="28"/>
        </w:rPr>
        <w:t>.</w:t>
      </w:r>
    </w:p>
    <w:p w:rsidR="00513C81" w:rsidRPr="00D94F32" w:rsidRDefault="00D94F32">
      <w:pPr>
        <w:ind w:firstLine="709"/>
        <w:jc w:val="both"/>
        <w:rPr>
          <w:rFonts w:eastAsia="Calibri"/>
          <w:color w:val="000000"/>
          <w:sz w:val="28"/>
          <w:szCs w:val="28"/>
        </w:rPr>
      </w:pPr>
      <w:r w:rsidRPr="00D94F32">
        <w:rPr>
          <w:rFonts w:eastAsia="Calibri"/>
          <w:b/>
          <w:sz w:val="28"/>
          <w:szCs w:val="28"/>
          <w:lang w:eastAsia="en-US"/>
        </w:rPr>
        <w:t>Налогооблагаемая прибыль</w:t>
      </w:r>
      <w:r w:rsidRPr="00D94F32">
        <w:rPr>
          <w:rFonts w:eastAsia="Calibri"/>
          <w:sz w:val="28"/>
          <w:szCs w:val="28"/>
          <w:lang w:eastAsia="en-US"/>
        </w:rPr>
        <w:t xml:space="preserve"> (</w:t>
      </w:r>
      <w:r w:rsidRPr="00D94F32">
        <w:rPr>
          <w:sz w:val="28"/>
          <w:szCs w:val="28"/>
        </w:rPr>
        <w:t xml:space="preserve">расчетная база для исчисления налога на прибыль) </w:t>
      </w:r>
      <w:r w:rsidRPr="00D94F32">
        <w:rPr>
          <w:rFonts w:eastAsia="Calibri"/>
          <w:color w:val="000000"/>
          <w:sz w:val="28"/>
          <w:szCs w:val="28"/>
        </w:rPr>
        <w:t xml:space="preserve">с учетом вышеуказанных тенденций текущего года в 2025 году оценивается в сумме 45,5 млрд. рублей, (62,1% от </w:t>
      </w:r>
      <w:r w:rsidRPr="00D94F32">
        <w:rPr>
          <w:rFonts w:eastAsia="Calibri"/>
          <w:color w:val="000000"/>
          <w:sz w:val="28"/>
          <w:szCs w:val="28"/>
        </w:rPr>
        <w:t xml:space="preserve">уровня 2024 года). </w:t>
      </w:r>
    </w:p>
    <w:p w:rsidR="00513C81" w:rsidRPr="00D94F32" w:rsidRDefault="00D94F32">
      <w:pPr>
        <w:ind w:firstLine="567"/>
        <w:jc w:val="both"/>
        <w:rPr>
          <w:rFonts w:eastAsia="Calibri"/>
          <w:color w:val="000000"/>
          <w:sz w:val="28"/>
          <w:szCs w:val="28"/>
        </w:rPr>
      </w:pPr>
      <w:r w:rsidRPr="00D94F32">
        <w:rPr>
          <w:rFonts w:eastAsia="Calibri"/>
          <w:color w:val="000000"/>
          <w:sz w:val="28"/>
          <w:szCs w:val="28"/>
        </w:rPr>
        <w:t>По базовому варианту прогноза, исходя из складывающейся динамики и сценарных условий развития отдельных видов экономической дея</w:t>
      </w:r>
      <w:r w:rsidRPr="00D94F32">
        <w:rPr>
          <w:rFonts w:eastAsia="Calibri"/>
          <w:color w:val="000000"/>
          <w:sz w:val="28"/>
          <w:szCs w:val="28"/>
        </w:rPr>
        <w:t xml:space="preserve">тельности, налогооблагаемая прибыль в 2026 году прогнозируется в размере 54,7 млрд. рублей, (рост 120,2% к уровню 2025 года) с увеличением до 73,4 млрд.рублей к 2028 году. </w:t>
      </w:r>
    </w:p>
    <w:p w:rsidR="00513C81" w:rsidRPr="00D94F32" w:rsidRDefault="00D94F32">
      <w:pPr>
        <w:ind w:firstLine="567"/>
        <w:jc w:val="both"/>
        <w:rPr>
          <w:rFonts w:eastAsia="Calibri"/>
          <w:color w:val="000000"/>
          <w:sz w:val="28"/>
          <w:szCs w:val="28"/>
        </w:rPr>
      </w:pPr>
      <w:r w:rsidRPr="00D94F32">
        <w:rPr>
          <w:rFonts w:eastAsia="Calibri"/>
          <w:color w:val="000000"/>
          <w:sz w:val="28"/>
          <w:szCs w:val="28"/>
        </w:rPr>
        <w:t>Рост налогооблагаемой прибыли предусматривается за счет:</w:t>
      </w:r>
    </w:p>
    <w:p w:rsidR="00513C81" w:rsidRPr="00D94F32" w:rsidRDefault="00D94F32">
      <w:pPr>
        <w:ind w:firstLine="567"/>
        <w:jc w:val="both"/>
        <w:rPr>
          <w:rFonts w:eastAsia="Calibri"/>
          <w:color w:val="000000"/>
          <w:sz w:val="28"/>
          <w:szCs w:val="28"/>
        </w:rPr>
      </w:pPr>
      <w:r w:rsidRPr="00D94F32">
        <w:rPr>
          <w:rFonts w:eastAsia="Calibri"/>
          <w:color w:val="000000"/>
          <w:sz w:val="28"/>
          <w:szCs w:val="28"/>
        </w:rPr>
        <w:lastRenderedPageBreak/>
        <w:t>- завершения действия в сл</w:t>
      </w:r>
      <w:r w:rsidRPr="00D94F32">
        <w:rPr>
          <w:rFonts w:eastAsia="Calibri"/>
          <w:color w:val="000000"/>
          <w:sz w:val="28"/>
          <w:szCs w:val="28"/>
        </w:rPr>
        <w:t xml:space="preserve">едующем году временного порядка распределения между регионами налога на прибыль организаций, в связи с прекращением </w:t>
      </w:r>
      <w:r w:rsidRPr="00D94F32">
        <w:rPr>
          <w:rFonts w:eastAsia="Calibri"/>
          <w:color w:val="000000"/>
          <w:sz w:val="28"/>
          <w:szCs w:val="28"/>
        </w:rPr>
        <w:t xml:space="preserve">с 2023 года действия </w:t>
      </w:r>
      <w:r w:rsidRPr="00D94F32">
        <w:rPr>
          <w:rFonts w:eastAsia="Calibri"/>
          <w:color w:val="000000"/>
          <w:sz w:val="28"/>
          <w:szCs w:val="28"/>
        </w:rPr>
        <w:t xml:space="preserve">института </w:t>
      </w:r>
      <w:r w:rsidRPr="00D94F32">
        <w:rPr>
          <w:rFonts w:eastAsia="Calibri"/>
          <w:color w:val="000000"/>
          <w:sz w:val="28"/>
          <w:szCs w:val="28"/>
        </w:rPr>
        <w:t>консолидированных групп налогоплательщиков,</w:t>
      </w:r>
    </w:p>
    <w:p w:rsidR="00513C81" w:rsidRPr="00D94F32" w:rsidRDefault="00D94F32">
      <w:pPr>
        <w:ind w:firstLine="567"/>
        <w:jc w:val="both"/>
        <w:rPr>
          <w:rFonts w:eastAsia="Calibri"/>
          <w:color w:val="000000"/>
          <w:sz w:val="28"/>
          <w:szCs w:val="28"/>
        </w:rPr>
      </w:pPr>
      <w:r w:rsidRPr="00D94F32">
        <w:rPr>
          <w:rFonts w:eastAsia="Calibri"/>
          <w:color w:val="000000"/>
          <w:sz w:val="28"/>
          <w:szCs w:val="28"/>
        </w:rPr>
        <w:t xml:space="preserve">-  увеличения </w:t>
      </w:r>
      <w:r w:rsidRPr="00D94F32">
        <w:rPr>
          <w:rFonts w:eastAsia="Calibri"/>
          <w:color w:val="000000"/>
          <w:sz w:val="28"/>
          <w:szCs w:val="28"/>
        </w:rPr>
        <w:t xml:space="preserve">объёмов производства и улучшения </w:t>
      </w:r>
      <w:r w:rsidRPr="00D94F32">
        <w:rPr>
          <w:rFonts w:eastAsia="Calibri"/>
          <w:color w:val="000000"/>
          <w:sz w:val="28"/>
          <w:szCs w:val="28"/>
        </w:rPr>
        <w:t>ценовой конъю</w:t>
      </w:r>
      <w:r w:rsidRPr="00D94F32">
        <w:rPr>
          <w:rFonts w:eastAsia="Calibri"/>
          <w:color w:val="000000"/>
          <w:sz w:val="28"/>
          <w:szCs w:val="28"/>
        </w:rPr>
        <w:t xml:space="preserve">нктуры </w:t>
      </w:r>
      <w:r w:rsidRPr="00D94F32">
        <w:rPr>
          <w:rFonts w:eastAsia="Calibri"/>
          <w:color w:val="000000"/>
          <w:sz w:val="28"/>
          <w:szCs w:val="28"/>
        </w:rPr>
        <w:t xml:space="preserve">на продукцию в добыче полезных ископаемых </w:t>
      </w:r>
      <w:r w:rsidRPr="00D94F32">
        <w:rPr>
          <w:rFonts w:eastAsia="Calibri"/>
          <w:color w:val="000000"/>
          <w:sz w:val="28"/>
          <w:szCs w:val="28"/>
        </w:rPr>
        <w:t xml:space="preserve">(как результат - рост прибыли предприятий в добыче полезных ископаемых),  </w:t>
      </w:r>
    </w:p>
    <w:p w:rsidR="00513C81" w:rsidRPr="00D94F32" w:rsidRDefault="00D94F32">
      <w:pPr>
        <w:ind w:firstLine="567"/>
        <w:jc w:val="both"/>
        <w:rPr>
          <w:rFonts w:eastAsia="Calibri"/>
          <w:color w:val="000000"/>
          <w:sz w:val="28"/>
          <w:szCs w:val="28"/>
        </w:rPr>
      </w:pPr>
      <w:r w:rsidRPr="00D94F32">
        <w:rPr>
          <w:rFonts w:eastAsia="Calibri"/>
          <w:color w:val="000000"/>
          <w:sz w:val="28"/>
          <w:szCs w:val="28"/>
        </w:rPr>
        <w:t>- повышения прибыли в обрабатывающих видах деятельности в результате восстановления объемов производства, развития импортозамещающ</w:t>
      </w:r>
      <w:r w:rsidRPr="00D94F32">
        <w:rPr>
          <w:rFonts w:eastAsia="Calibri"/>
          <w:color w:val="000000"/>
          <w:sz w:val="28"/>
          <w:szCs w:val="28"/>
        </w:rPr>
        <w:t xml:space="preserve">их производств, выхода предприятий на новые рынки сбыта, создания новых предприятий; </w:t>
      </w:r>
    </w:p>
    <w:p w:rsidR="00513C81" w:rsidRPr="00D94F32" w:rsidRDefault="00D94F32">
      <w:pPr>
        <w:ind w:firstLine="567"/>
        <w:jc w:val="both"/>
        <w:rPr>
          <w:rFonts w:eastAsia="Calibri"/>
          <w:color w:val="000000"/>
          <w:sz w:val="28"/>
          <w:szCs w:val="28"/>
        </w:rPr>
      </w:pPr>
      <w:r w:rsidRPr="00D94F32">
        <w:rPr>
          <w:rFonts w:eastAsia="Calibri"/>
          <w:color w:val="000000"/>
          <w:sz w:val="28"/>
          <w:szCs w:val="28"/>
        </w:rPr>
        <w:t xml:space="preserve">- улучшения финансового состояния организаций в обеспечении электрической энергией в результате </w:t>
      </w:r>
      <w:r w:rsidRPr="00D94F32">
        <w:rPr>
          <w:rFonts w:eastAsia="Calibri"/>
          <w:color w:val="000000"/>
          <w:sz w:val="28"/>
          <w:szCs w:val="28"/>
        </w:rPr>
        <w:t xml:space="preserve">увеличения с 1 июля 2025 года тарифов, </w:t>
      </w:r>
    </w:p>
    <w:p w:rsidR="00513C81" w:rsidRPr="00D94F32" w:rsidRDefault="00D94F32">
      <w:pPr>
        <w:ind w:firstLine="567"/>
        <w:jc w:val="both"/>
        <w:rPr>
          <w:rFonts w:eastAsia="Calibri"/>
          <w:color w:val="000000"/>
          <w:sz w:val="28"/>
          <w:szCs w:val="28"/>
        </w:rPr>
      </w:pPr>
      <w:r w:rsidRPr="00D94F32">
        <w:rPr>
          <w:rFonts w:eastAsia="Calibri"/>
          <w:color w:val="000000"/>
          <w:sz w:val="28"/>
          <w:szCs w:val="28"/>
        </w:rPr>
        <w:t xml:space="preserve">- развития </w:t>
      </w:r>
      <w:r w:rsidRPr="00D94F32">
        <w:rPr>
          <w:rFonts w:eastAsia="Calibri"/>
          <w:color w:val="000000"/>
          <w:sz w:val="28"/>
          <w:szCs w:val="28"/>
        </w:rPr>
        <w:t>строительства в резул</w:t>
      </w:r>
      <w:r w:rsidRPr="00D94F32">
        <w:rPr>
          <w:rFonts w:eastAsia="Calibri"/>
          <w:color w:val="000000"/>
          <w:sz w:val="28"/>
          <w:szCs w:val="28"/>
        </w:rPr>
        <w:t xml:space="preserve">ьтате </w:t>
      </w:r>
      <w:r w:rsidRPr="00D94F32">
        <w:rPr>
          <w:rFonts w:eastAsia="Calibri"/>
          <w:color w:val="000000"/>
          <w:sz w:val="28"/>
          <w:szCs w:val="28"/>
        </w:rPr>
        <w:t xml:space="preserve">увеличения объемов строительных </w:t>
      </w:r>
      <w:r w:rsidRPr="00D94F32">
        <w:rPr>
          <w:rFonts w:eastAsia="Calibri"/>
          <w:color w:val="000000"/>
          <w:sz w:val="28"/>
          <w:szCs w:val="28"/>
        </w:rPr>
        <w:t>работ и ввода жилья, в то числе в рамках национальных проектов,</w:t>
      </w:r>
    </w:p>
    <w:p w:rsidR="00513C81" w:rsidRPr="00D94F32" w:rsidRDefault="00D94F32">
      <w:pPr>
        <w:ind w:firstLine="567"/>
        <w:jc w:val="both"/>
        <w:rPr>
          <w:rFonts w:eastAsia="Calibri"/>
          <w:color w:val="000000"/>
          <w:sz w:val="28"/>
          <w:szCs w:val="28"/>
        </w:rPr>
      </w:pPr>
      <w:r w:rsidRPr="00D94F32">
        <w:rPr>
          <w:rFonts w:eastAsia="Calibri"/>
          <w:color w:val="000000"/>
          <w:sz w:val="28"/>
          <w:szCs w:val="28"/>
        </w:rPr>
        <w:t xml:space="preserve">- развития </w:t>
      </w:r>
      <w:r w:rsidRPr="00D94F32">
        <w:rPr>
          <w:rFonts w:eastAsia="Calibri"/>
          <w:color w:val="000000"/>
          <w:sz w:val="28"/>
          <w:szCs w:val="28"/>
        </w:rPr>
        <w:t xml:space="preserve">транспорта и туризма </w:t>
      </w:r>
      <w:r w:rsidRPr="00D94F32">
        <w:rPr>
          <w:rFonts w:eastAsia="Calibri"/>
          <w:color w:val="000000"/>
          <w:sz w:val="28"/>
          <w:szCs w:val="28"/>
        </w:rPr>
        <w:t xml:space="preserve">в результате </w:t>
      </w:r>
      <w:r w:rsidRPr="00D94F32">
        <w:rPr>
          <w:rFonts w:eastAsia="Calibri"/>
          <w:color w:val="000000"/>
          <w:sz w:val="28"/>
          <w:szCs w:val="28"/>
        </w:rPr>
        <w:t>переориентации деятельности на внутренний рынок.</w:t>
      </w:r>
    </w:p>
    <w:p w:rsidR="00513C81" w:rsidRPr="00D94F32" w:rsidRDefault="00D94F32">
      <w:pPr>
        <w:ind w:firstLine="709"/>
        <w:jc w:val="both"/>
        <w:rPr>
          <w:rFonts w:eastAsia="Calibri"/>
          <w:color w:val="000000"/>
          <w:sz w:val="28"/>
          <w:szCs w:val="28"/>
        </w:rPr>
      </w:pPr>
      <w:r w:rsidRPr="00D94F32">
        <w:rPr>
          <w:sz w:val="28"/>
          <w:szCs w:val="28"/>
        </w:rPr>
        <w:t xml:space="preserve">В 2024 году </w:t>
      </w:r>
      <w:r w:rsidRPr="00D94F32">
        <w:rPr>
          <w:b/>
          <w:sz w:val="28"/>
          <w:szCs w:val="28"/>
        </w:rPr>
        <w:t>фонд заработной платы с учетом необлагаемой</w:t>
      </w:r>
      <w:r w:rsidRPr="00D94F32">
        <w:rPr>
          <w:b/>
          <w:sz w:val="28"/>
          <w:szCs w:val="28"/>
        </w:rPr>
        <w:t xml:space="preserve"> его части, </w:t>
      </w:r>
      <w:r w:rsidRPr="00D94F32">
        <w:rPr>
          <w:sz w:val="28"/>
          <w:szCs w:val="28"/>
        </w:rPr>
        <w:t xml:space="preserve">используемый для расчета налога на доходы физических лиц, составил 214,8 млрд. </w:t>
      </w:r>
      <w:r w:rsidRPr="00D94F32">
        <w:rPr>
          <w:rFonts w:eastAsia="Calibri"/>
          <w:color w:val="000000"/>
          <w:sz w:val="28"/>
          <w:szCs w:val="28"/>
        </w:rPr>
        <w:t>рублей, что на 22,6% выше уровня 2023 года, при этом номинальная среднемесячная заработная плата работников выросла на 14,6%.</w:t>
      </w:r>
    </w:p>
    <w:p w:rsidR="00513C81" w:rsidRPr="00D94F32" w:rsidRDefault="00D94F32">
      <w:pPr>
        <w:ind w:firstLine="709"/>
        <w:jc w:val="both"/>
        <w:rPr>
          <w:rFonts w:eastAsia="Calibri"/>
          <w:color w:val="000000"/>
          <w:sz w:val="28"/>
          <w:szCs w:val="28"/>
        </w:rPr>
      </w:pPr>
      <w:r w:rsidRPr="00D94F32">
        <w:rPr>
          <w:rFonts w:eastAsia="Calibri"/>
          <w:color w:val="000000"/>
          <w:sz w:val="28"/>
          <w:szCs w:val="28"/>
        </w:rPr>
        <w:t>По 2025 году, исходя из сложившейся дин</w:t>
      </w:r>
      <w:r w:rsidRPr="00D94F32">
        <w:rPr>
          <w:rFonts w:eastAsia="Calibri"/>
          <w:color w:val="000000"/>
          <w:sz w:val="28"/>
          <w:szCs w:val="28"/>
        </w:rPr>
        <w:t>амики заработной платы и численности занятых, фонд заработной платы с учетом необлагаемой его части оценивается в объеме 255,7 млрд.рублей с превышением уровня 2024 года на 19%. В 2026 году прирост фонда заработной платы прогнозируется на 11,6%, что соотве</w:t>
      </w:r>
      <w:r w:rsidRPr="00D94F32">
        <w:rPr>
          <w:rFonts w:eastAsia="Calibri"/>
          <w:color w:val="000000"/>
          <w:sz w:val="28"/>
          <w:szCs w:val="28"/>
        </w:rPr>
        <w:t>тствует среднероссийской динамике. В дальнейшем, исходя из замедления инфляции, предполагаются более умеренные ежегодные темпы роста на уровне  107,5-108,3% с увеличением к 2028 году фонда заработной платы до 332,3 млрд.рублей по базовому варианту.</w:t>
      </w:r>
    </w:p>
    <w:p w:rsidR="00513C81" w:rsidRPr="00D94F32" w:rsidRDefault="00D94F32">
      <w:pPr>
        <w:ind w:firstLine="709"/>
        <w:jc w:val="both"/>
        <w:rPr>
          <w:rFonts w:eastAsia="Calibri"/>
          <w:color w:val="000000"/>
          <w:sz w:val="28"/>
          <w:szCs w:val="28"/>
        </w:rPr>
      </w:pPr>
      <w:r w:rsidRPr="00D94F32">
        <w:rPr>
          <w:b/>
          <w:sz w:val="28"/>
          <w:szCs w:val="28"/>
        </w:rPr>
        <w:t>Налогов</w:t>
      </w:r>
      <w:r w:rsidRPr="00D94F32">
        <w:rPr>
          <w:b/>
          <w:sz w:val="28"/>
          <w:szCs w:val="28"/>
        </w:rPr>
        <w:t>ая база для исчисления налога на имущество организаций</w:t>
      </w:r>
      <w:r w:rsidRPr="00D94F32">
        <w:rPr>
          <w:sz w:val="28"/>
          <w:szCs w:val="28"/>
        </w:rPr>
        <w:t xml:space="preserve">, поступающего в </w:t>
      </w:r>
      <w:r w:rsidRPr="00D94F32">
        <w:rPr>
          <w:rFonts w:eastAsia="Calibri"/>
          <w:color w:val="000000"/>
          <w:sz w:val="28"/>
          <w:szCs w:val="28"/>
        </w:rPr>
        <w:t>бюджет Республики Карелия, по итогам 2024 года составила 179,1 млрд.рублей, что на 9,4% выше уровня 2023 года.</w:t>
      </w:r>
    </w:p>
    <w:p w:rsidR="00513C81" w:rsidRPr="00D94F32" w:rsidRDefault="00D94F32">
      <w:pPr>
        <w:ind w:firstLine="709"/>
        <w:jc w:val="both"/>
        <w:rPr>
          <w:rFonts w:eastAsia="Calibri"/>
          <w:color w:val="000000"/>
          <w:sz w:val="28"/>
          <w:szCs w:val="28"/>
        </w:rPr>
      </w:pPr>
      <w:r w:rsidRPr="00D94F32">
        <w:rPr>
          <w:rFonts w:eastAsia="Calibri"/>
          <w:color w:val="000000"/>
          <w:sz w:val="28"/>
          <w:szCs w:val="28"/>
        </w:rPr>
        <w:t>При оценке налогооблагаемой базы в 2025 году в объеме 204,5 млрд.рублей, н</w:t>
      </w:r>
      <w:r w:rsidRPr="00D94F32">
        <w:rPr>
          <w:rFonts w:eastAsia="Calibri"/>
          <w:color w:val="000000"/>
          <w:sz w:val="28"/>
          <w:szCs w:val="28"/>
        </w:rPr>
        <w:t>а 2026 год данный показатель прогнозируется по базовому варианту с ростом на 10% до 225 млрд.рублей с учетом планируемых инвестиций в основной капитал, а также предполагаемых изменений в налоговое законодательство республики в части налога на имущество орг</w:t>
      </w:r>
      <w:r w:rsidRPr="00D94F32">
        <w:rPr>
          <w:rFonts w:eastAsia="Calibri"/>
          <w:color w:val="000000"/>
          <w:sz w:val="28"/>
          <w:szCs w:val="28"/>
        </w:rPr>
        <w:t>анизаций, в том числе в отношении объектов недвижимого имущества, налоговая база по которым определяется как кадастровая стоимость. На 2027 год стоимость облагаемого имущества прогнозируется по базовому варианту в размере 244,1 млрд. руб., на 2028 год – 26</w:t>
      </w:r>
      <w:r w:rsidRPr="00D94F32">
        <w:rPr>
          <w:rFonts w:eastAsia="Calibri"/>
          <w:color w:val="000000"/>
          <w:sz w:val="28"/>
          <w:szCs w:val="28"/>
        </w:rPr>
        <w:t>3,6 млрд. рублей.</w:t>
      </w:r>
    </w:p>
    <w:p w:rsidR="00513C81" w:rsidRDefault="00513C81">
      <w:pPr>
        <w:widowControl w:val="0"/>
        <w:spacing w:line="360" w:lineRule="auto"/>
        <w:ind w:left="11" w:firstLine="556"/>
        <w:jc w:val="both"/>
      </w:pPr>
    </w:p>
    <w:p w:rsidR="00D94F32" w:rsidRDefault="00D94F32">
      <w:pPr>
        <w:widowControl w:val="0"/>
        <w:spacing w:line="360" w:lineRule="auto"/>
        <w:ind w:left="11" w:firstLine="556"/>
        <w:jc w:val="both"/>
      </w:pPr>
    </w:p>
    <w:p w:rsidR="00D94F32" w:rsidRDefault="00D94F32">
      <w:pPr>
        <w:widowControl w:val="0"/>
        <w:spacing w:line="360" w:lineRule="auto"/>
        <w:ind w:left="11" w:firstLine="556"/>
        <w:jc w:val="both"/>
      </w:pPr>
    </w:p>
    <w:p w:rsidR="00D94F32" w:rsidRDefault="00D94F32">
      <w:pPr>
        <w:widowControl w:val="0"/>
        <w:spacing w:line="360" w:lineRule="auto"/>
        <w:ind w:left="11" w:firstLine="556"/>
        <w:jc w:val="both"/>
      </w:pPr>
    </w:p>
    <w:p w:rsidR="00D94F32" w:rsidRDefault="00D94F32">
      <w:pPr>
        <w:widowControl w:val="0"/>
        <w:spacing w:line="360" w:lineRule="auto"/>
        <w:ind w:left="11" w:firstLine="556"/>
        <w:jc w:val="both"/>
      </w:pPr>
    </w:p>
    <w:p w:rsidR="00D94F32" w:rsidRPr="00D94F32" w:rsidRDefault="00D94F32" w:rsidP="00D94F32">
      <w:pPr>
        <w:widowControl w:val="0"/>
        <w:ind w:left="11" w:hanging="11"/>
        <w:jc w:val="center"/>
        <w:rPr>
          <w:b/>
          <w:color w:val="000000"/>
        </w:rPr>
      </w:pPr>
      <w:r w:rsidRPr="00D94F32">
        <w:rPr>
          <w:b/>
          <w:color w:val="000000"/>
        </w:rPr>
        <w:lastRenderedPageBreak/>
        <w:t>Объем бюджетных ассигнований на финансовое обеспечение реализации государственных программ Республики Карелия на 2025-2028 годы</w:t>
      </w:r>
    </w:p>
    <w:p w:rsidR="00D94F32" w:rsidRPr="00D94F32" w:rsidRDefault="00D94F32" w:rsidP="00D94F32">
      <w:pPr>
        <w:widowControl w:val="0"/>
        <w:ind w:left="11" w:hanging="11"/>
        <w:jc w:val="center"/>
        <w:rPr>
          <w:b/>
          <w:color w:val="000000"/>
        </w:rPr>
      </w:pPr>
    </w:p>
    <w:p w:rsidR="00D94F32" w:rsidRPr="00D94F32" w:rsidRDefault="00D94F32" w:rsidP="00D94F32">
      <w:pPr>
        <w:widowControl w:val="0"/>
        <w:ind w:left="11" w:hanging="11"/>
        <w:jc w:val="right"/>
        <w:rPr>
          <w:b/>
          <w:color w:val="000000"/>
        </w:rPr>
      </w:pPr>
      <w:r w:rsidRPr="00D94F32">
        <w:rPr>
          <w:color w:val="000000"/>
        </w:rPr>
        <w:t>тыс. рублей</w:t>
      </w:r>
    </w:p>
    <w:tbl>
      <w:tblPr>
        <w:tblStyle w:val="afff6"/>
        <w:tblW w:w="5290" w:type="pct"/>
        <w:jc w:val="center"/>
        <w:tblLook w:val="04A0" w:firstRow="1" w:lastRow="0" w:firstColumn="1" w:lastColumn="0" w:noHBand="0" w:noVBand="1"/>
      </w:tblPr>
      <w:tblGrid>
        <w:gridCol w:w="4112"/>
        <w:gridCol w:w="1522"/>
        <w:gridCol w:w="1524"/>
        <w:gridCol w:w="1526"/>
        <w:gridCol w:w="1381"/>
      </w:tblGrid>
      <w:tr w:rsidR="00513C81" w:rsidRPr="00D94F32" w:rsidTr="00D94F32">
        <w:trPr>
          <w:trHeight w:val="285"/>
          <w:tblHeader/>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rPr>
                <w:rFonts w:ascii="undefined" w:hAnsi="undefined" w:cs="undefined"/>
                <w:color w:val="000000"/>
              </w:rPr>
            </w:pPr>
            <w:r w:rsidRPr="00D94F32">
              <w:rPr>
                <w:color w:val="000000"/>
              </w:rPr>
              <w:t>Наименование государственной программы</w:t>
            </w:r>
          </w:p>
          <w:p w:rsidR="00513C81" w:rsidRPr="00D94F32" w:rsidRDefault="00D94F32">
            <w:pPr>
              <w:jc w:val="center"/>
            </w:pPr>
            <w:r w:rsidRPr="00D94F32">
              <w:rPr>
                <w:color w:val="000000"/>
              </w:rPr>
              <w:t xml:space="preserve"> Республики Карелия</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2025 год*</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2026 год**</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2027 год**</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2028 год**</w:t>
            </w:r>
          </w:p>
        </w:tc>
      </w:tr>
      <w:tr w:rsidR="00513C81" w:rsidRPr="00D94F32" w:rsidTr="00D94F32">
        <w:trPr>
          <w:trHeight w:val="285"/>
          <w:tblHeader/>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3</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3</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4</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«Развитие здравоохранения»</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13 706 339,8</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15 746 437,2</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13 716 421,9</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16 094 542,7</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«Развитие образования»</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19 241 236,0</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17 197 673,9</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15 340 420,4</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14 647 885,1</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«Совершенствование социальной защиты граждан»</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12 839 548,3</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9 715 740,8</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8 397 114,7</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9 135 714,1</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«Доступная среда в Республике Карелия»</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21 575,3</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16 596,0</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13 943,5</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11 471,1</w:t>
            </w:r>
          </w:p>
        </w:tc>
      </w:tr>
      <w:tr w:rsidR="00513C81" w:rsidRPr="00D94F32" w:rsidTr="00D94F32">
        <w:trPr>
          <w:trHeight w:val="72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«Обеспечение доступным и комфортным жильем и жилищно-коммунальными услугами»</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9 289 063,6</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3 063 644,0</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4 700 673,6</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1 450 172,5</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«Содействие занятости населения»</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595 005,9</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566 849,2</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530 187,9</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537 744,2</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«Развитие культуры»</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2 349 216,9</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2 009 940,9</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1 655 341,3</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1 789 759,4</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«Развитие физической культуры и спорта»</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661 688,0</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553 734,3</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713 709,1</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699 273,2</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«Экономическое развитие и инновационная экономика»</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261 148,8</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635 819,0</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192 993,8</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 xml:space="preserve">819 </w:t>
            </w:r>
            <w:r w:rsidRPr="00D94F32">
              <w:rPr>
                <w:color w:val="000000"/>
              </w:rPr>
              <w:t>730,7</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«Информационное общество»</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521 268,7</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567 791,5</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462 351,7</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534 486,6</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«Развитие транспортной системы»</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10 032 070,7</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9 739 200,0</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9 837 204,7</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11 598 309,4</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«Развитие агропромышленного и рыбохозяйственного комплексов»</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1 808 428,6</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1 538 814,6</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591 577,5</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847 057,4</w:t>
            </w:r>
          </w:p>
        </w:tc>
      </w:tr>
      <w:tr w:rsidR="00513C81" w:rsidRPr="00D94F32" w:rsidTr="00D94F32">
        <w:trPr>
          <w:trHeight w:val="72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«Воспроизводство и использование природных ресурсов и охрана окружающей среды»</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1 556 406,8</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1 713 378,0</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1 778 994,1</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1 898 490,4</w:t>
            </w:r>
          </w:p>
        </w:tc>
      </w:tr>
      <w:tr w:rsidR="00513C81" w:rsidRPr="00D94F32" w:rsidTr="00D94F32">
        <w:trPr>
          <w:trHeight w:val="96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lastRenderedPageBreak/>
              <w:t>Государственная программа Республики Карелия «Развитие системы защиты населения и т</w:t>
            </w:r>
            <w:r w:rsidRPr="00D94F32">
              <w:rPr>
                <w:color w:val="000000"/>
              </w:rPr>
              <w:t>ерритории от последствий чрезвычайных ситуаций, профилактика правонарушений и терроризма»</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1 114 796,5</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1 068 229,1</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899 439,3</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971 368,7</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«Эффективное управление региональными финансами»</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4 079 728,6</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4 393 590,7</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3 807 196,0</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3 805 092,8</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«Развитие туризма»</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131 844,8</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136 692,4</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2 509 192,5</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1 525 651,3</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«Формирование современной городской среды»</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394 799,2</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211 642,7</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135 720,9</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137 242,7</w:t>
            </w:r>
          </w:p>
        </w:tc>
      </w:tr>
      <w:tr w:rsidR="00513C81" w:rsidRPr="00D94F32" w:rsidTr="00D94F32">
        <w:trPr>
          <w:trHeight w:val="72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«Реализация государственной национальной политики на территории Республики Карелия»</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131 172,0</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123 994,6</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80 057,6</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75 619,3</w:t>
            </w:r>
          </w:p>
        </w:tc>
      </w:tr>
      <w:tr w:rsidR="00513C81" w:rsidRPr="00D94F32" w:rsidTr="00D94F32">
        <w:trPr>
          <w:trHeight w:val="72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«Развитие местного самоуправления, защита прав и свобод человека и гражданина»</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931 981,4</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544 211,1</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531 678,6</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594 389,1</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«Реализация антинаркотической политики в Респу</w:t>
            </w:r>
            <w:r w:rsidRPr="00D94F32">
              <w:rPr>
                <w:color w:val="000000"/>
              </w:rPr>
              <w:t>блике Карелия»</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90,8</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140,0</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140,0</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140,0</w:t>
            </w:r>
          </w:p>
        </w:tc>
      </w:tr>
      <w:tr w:rsidR="00513C81" w:rsidRPr="00D94F32" w:rsidTr="00D94F32">
        <w:trPr>
          <w:trHeight w:val="480"/>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Государственная программа Республики Карелия «Развитие промышленности и новых технологий в Республике Карелия»</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135 045,1</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107 984,5</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62 086,5</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1 097 058,8</w:t>
            </w:r>
          </w:p>
        </w:tc>
      </w:tr>
      <w:tr w:rsidR="00513C81" w:rsidRPr="00D94F32" w:rsidTr="00D94F32">
        <w:trPr>
          <w:trHeight w:val="285"/>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color w:val="000000"/>
              </w:rPr>
              <w:t>Непрограммные направления деятельности</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4 156 667,0</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7 992 661,8</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10 511 504,8</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color w:val="000000"/>
              </w:rPr>
              <w:t>10 682 239,8</w:t>
            </w:r>
          </w:p>
        </w:tc>
      </w:tr>
      <w:tr w:rsidR="00513C81" w:rsidRPr="00D94F32" w:rsidTr="00D94F32">
        <w:trPr>
          <w:trHeight w:val="285"/>
          <w:jc w:val="center"/>
        </w:trPr>
        <w:tc>
          <w:tcPr>
            <w:tcW w:w="204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r w:rsidRPr="00D94F32">
              <w:rPr>
                <w:b/>
                <w:color w:val="000000"/>
              </w:rPr>
              <w:t>ВСЕГО РАСХОДОВ:</w:t>
            </w:r>
          </w:p>
        </w:tc>
        <w:tc>
          <w:tcPr>
            <w:tcW w:w="7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b/>
                <w:color w:val="000000"/>
              </w:rPr>
              <w:t>83 959 122,6</w:t>
            </w:r>
          </w:p>
        </w:tc>
        <w:tc>
          <w:tcPr>
            <w:tcW w:w="75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b/>
                <w:color w:val="000000"/>
              </w:rPr>
              <w:t>77 644 766,3</w:t>
            </w:r>
          </w:p>
        </w:tc>
        <w:tc>
          <w:tcPr>
            <w:tcW w:w="7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b/>
                <w:color w:val="000000"/>
              </w:rPr>
              <w:t>76 467 950,4</w:t>
            </w:r>
          </w:p>
        </w:tc>
        <w:tc>
          <w:tcPr>
            <w:tcW w:w="68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C81" w:rsidRPr="00D94F32" w:rsidRDefault="00D94F32">
            <w:pPr>
              <w:jc w:val="center"/>
            </w:pPr>
            <w:r w:rsidRPr="00D94F32">
              <w:rPr>
                <w:b/>
                <w:color w:val="000000"/>
              </w:rPr>
              <w:t>78 953 439,3</w:t>
            </w:r>
          </w:p>
        </w:tc>
      </w:tr>
      <w:tr w:rsidR="00513C81" w:rsidTr="00D94F32">
        <w:trPr>
          <w:trHeight w:val="285"/>
          <w:jc w:val="center"/>
        </w:trPr>
        <w:tc>
          <w:tcPr>
            <w:tcW w:w="2043" w:type="pct"/>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513C81"/>
        </w:tc>
        <w:tc>
          <w:tcPr>
            <w:tcW w:w="756" w:type="pct"/>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513C81"/>
        </w:tc>
        <w:tc>
          <w:tcPr>
            <w:tcW w:w="757" w:type="pct"/>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513C81"/>
        </w:tc>
        <w:tc>
          <w:tcPr>
            <w:tcW w:w="758" w:type="pct"/>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513C81"/>
        </w:tc>
        <w:tc>
          <w:tcPr>
            <w:tcW w:w="688" w:type="pct"/>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513C81"/>
        </w:tc>
      </w:tr>
      <w:tr w:rsidR="00513C81" w:rsidTr="00D94F32">
        <w:trPr>
          <w:trHeight w:val="285"/>
          <w:jc w:val="center"/>
        </w:trPr>
        <w:tc>
          <w:tcPr>
            <w:tcW w:w="2043" w:type="pc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D94F32">
            <w:r>
              <w:rPr>
                <w:color w:val="000000"/>
                <w:sz w:val="20"/>
              </w:rPr>
              <w:t>* в соответствии со сводной бюджетной росписью бюджета Республики Карелия на 2025-2027 гг. по состоянию на 01.10.2025 г.</w:t>
            </w:r>
          </w:p>
        </w:tc>
        <w:tc>
          <w:tcPr>
            <w:tcW w:w="756" w:type="pc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513C81"/>
        </w:tc>
        <w:tc>
          <w:tcPr>
            <w:tcW w:w="757" w:type="pc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513C81"/>
        </w:tc>
        <w:tc>
          <w:tcPr>
            <w:tcW w:w="758" w:type="pc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513C81"/>
        </w:tc>
        <w:tc>
          <w:tcPr>
            <w:tcW w:w="688" w:type="pc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513C81"/>
        </w:tc>
      </w:tr>
      <w:tr w:rsidR="00513C81" w:rsidTr="00D94F32">
        <w:trPr>
          <w:trHeight w:val="285"/>
          <w:jc w:val="center"/>
        </w:trPr>
        <w:tc>
          <w:tcPr>
            <w:tcW w:w="5000" w:type="pct"/>
            <w:gridSpan w:val="5"/>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513C81" w:rsidRDefault="00D94F32">
            <w:r>
              <w:rPr>
                <w:color w:val="000000"/>
                <w:sz w:val="20"/>
              </w:rPr>
              <w:t>** в соответствии с проектом закона о бюджете Республики Карелия на 2026-2028 гг.</w:t>
            </w:r>
          </w:p>
        </w:tc>
      </w:tr>
    </w:tbl>
    <w:p w:rsidR="00513C81" w:rsidRDefault="00513C81">
      <w:pPr>
        <w:widowControl w:val="0"/>
        <w:spacing w:line="360" w:lineRule="auto"/>
        <w:ind w:left="11" w:firstLine="556"/>
        <w:jc w:val="both"/>
      </w:pPr>
    </w:p>
    <w:sectPr w:rsidR="00513C81" w:rsidSect="00D94F32">
      <w:headerReference w:type="even" r:id="rId11"/>
      <w:headerReference w:type="default" r:id="rId12"/>
      <w:footerReference w:type="even" r:id="rId13"/>
      <w:footerReference w:type="default" r:id="rId14"/>
      <w:pgSz w:w="11906" w:h="16838"/>
      <w:pgMar w:top="709" w:right="991" w:bottom="567" w:left="1418" w:header="284" w:footer="284" w:gutter="0"/>
      <w:cols w:space="1701"/>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C81" w:rsidRDefault="00D94F32">
      <w:r>
        <w:separator/>
      </w:r>
    </w:p>
  </w:endnote>
  <w:endnote w:type="continuationSeparator" w:id="0">
    <w:p w:rsidR="00513C81" w:rsidRDefault="00D9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Bahnschrift Light"/>
    <w:charset w:val="00"/>
    <w:family w:val="auto"/>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auto"/>
    <w:pitch w:val="default"/>
  </w:font>
  <w:font w:name="undefined">
    <w:altName w:val="Wingdings 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C81" w:rsidRDefault="00D94F32">
    <w:pPr>
      <w:pStyle w:val="af2"/>
      <w:ind w:right="360"/>
    </w:pPr>
    <w:r>
      <w:rPr>
        <w:noProof/>
      </w:rP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 name="Врезка2"/>
              <wp:cNvGraphicFramePr/>
              <a:graphic xmlns:a="http://schemas.openxmlformats.org/drawingml/2006/main">
                <a:graphicData uri="http://schemas.microsoft.com/office/word/2010/wordprocessingShape">
                  <wps:wsp>
                    <wps:cNvSpPr txBox="1"/>
                    <wps:spPr bwMode="auto">
                      <a:xfrm>
                        <a:off x="0" y="0"/>
                        <a:ext cx="14605" cy="14605"/>
                      </a:xfrm>
                      <a:prstGeom prst="rect">
                        <a:avLst/>
                      </a:prstGeom>
                      <a:solidFill>
                        <a:srgbClr val="FFFFFF">
                          <a:alpha val="0"/>
                        </a:srgbClr>
                      </a:solidFill>
                    </wps:spPr>
                    <wps:txbx>
                      <w:txbxContent>
                        <w:p w:rsidR="00513C81" w:rsidRDefault="00D94F32">
                          <w:pPr>
                            <w:pStyle w:val="af2"/>
                            <w:rPr>
                              <w:rStyle w:val="afa"/>
                            </w:rPr>
                          </w:pPr>
                          <w:r>
                            <w:rPr>
                              <w:rStyle w:val="afa"/>
                            </w:rPr>
                            <w:fldChar w:fldCharType="begin"/>
                          </w:r>
                          <w:r>
                            <w:rPr>
                              <w:rStyle w:val="afa"/>
                            </w:rPr>
                            <w:instrText xml:space="preserve"> PAGE </w:instrText>
                          </w:r>
                          <w:r>
                            <w:rPr>
                              <w:rStyle w:val="afa"/>
                            </w:rPr>
                            <w:fldChar w:fldCharType="separate"/>
                          </w:r>
                          <w:r>
                            <w:rPr>
                              <w:rStyle w:val="afa"/>
                            </w:rPr>
                            <w:t>0</w:t>
                          </w:r>
                          <w:r>
                            <w:rPr>
                              <w:rStyle w:val="afa"/>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" stroked="f">
              <v:fill opacity="0"/>
              <v:textbox style="mso-fit-shape-to-text:t" inset="0,0,0,0">
                <w:txbxContent>
                  <w:p w:rsidR="00513C81" w:rsidRDefault="00D94F32">
                    <w:pPr>
                      <w:pStyle w:val="af2"/>
                      <w:rPr>
                        <w:rStyle w:val="afa"/>
                      </w:rPr>
                    </w:pPr>
                    <w:r>
                      <w:rPr>
                        <w:rStyle w:val="afa"/>
                      </w:rPr>
                      <w:fldChar w:fldCharType="begin"/>
                    </w:r>
                    <w:r>
                      <w:rPr>
                        <w:rStyle w:val="afa"/>
                      </w:rPr>
                      <w:instrText xml:space="preserve"> PAGE </w:instrText>
                    </w:r>
                    <w:r>
                      <w:rPr>
                        <w:rStyle w:val="afa"/>
                      </w:rPr>
                      <w:fldChar w:fldCharType="separate"/>
                    </w:r>
                    <w:r>
                      <w:rPr>
                        <w:rStyle w:val="afa"/>
                      </w:rPr>
                      <w:t>0</w:t>
                    </w:r>
                    <w:r>
                      <w:rPr>
                        <w:rStyle w:val="afa"/>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C81" w:rsidRDefault="00D94F32">
    <w:pPr>
      <w:pStyle w:val="af2"/>
      <w:jc w:val="right"/>
    </w:pPr>
    <w:r>
      <w:fldChar w:fldCharType="begin"/>
    </w:r>
    <w:r>
      <w:instrText xml:space="preserve"> PAGE </w:instrText>
    </w:r>
    <w:r>
      <w:fldChar w:fldCharType="separate"/>
    </w:r>
    <w:r>
      <w:rPr>
        <w:noProof/>
      </w:rPr>
      <w:t>29</w:t>
    </w:r>
    <w:r>
      <w:fldChar w:fldCharType="end"/>
    </w:r>
  </w:p>
  <w:p w:rsidR="00513C81" w:rsidRDefault="00513C81">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C81" w:rsidRDefault="00D94F32">
      <w:r>
        <w:separator/>
      </w:r>
    </w:p>
  </w:footnote>
  <w:footnote w:type="continuationSeparator" w:id="0">
    <w:p w:rsidR="00513C81" w:rsidRDefault="00D94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C81" w:rsidRDefault="00D94F32">
    <w:pPr>
      <w:pStyle w:val="af1"/>
      <w:ind w:right="360"/>
    </w:pPr>
    <w:r>
      <w:rPr>
        <w:noProof/>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bwMode="auto">
                      <a:xfrm>
                        <a:off x="0" y="0"/>
                        <a:ext cx="14605" cy="14605"/>
                      </a:xfrm>
                      <a:prstGeom prst="rect">
                        <a:avLst/>
                      </a:prstGeom>
                      <a:solidFill>
                        <a:srgbClr val="FFFFFF">
                          <a:alpha val="0"/>
                        </a:srgbClr>
                      </a:solidFill>
                    </wps:spPr>
                    <wps:txbx>
                      <w:txbxContent>
                        <w:p w:rsidR="00513C81" w:rsidRDefault="00D94F32">
                          <w:pPr>
                            <w:pStyle w:val="af1"/>
                            <w:rPr>
                              <w:rStyle w:val="afa"/>
                            </w:rPr>
                          </w:pPr>
                          <w:r>
                            <w:rPr>
                              <w:rStyle w:val="afa"/>
                            </w:rPr>
                            <w:fldChar w:fldCharType="begin"/>
                          </w:r>
                          <w:r>
                            <w:rPr>
                              <w:rStyle w:val="afa"/>
                            </w:rPr>
                            <w:instrText xml:space="preserve"> PAGE </w:instrText>
                          </w:r>
                          <w:r>
                            <w:rPr>
                              <w:rStyle w:val="afa"/>
                            </w:rPr>
                            <w:fldChar w:fldCharType="separate"/>
                          </w:r>
                          <w:r>
                            <w:rPr>
                              <w:rStyle w:val="afa"/>
                            </w:rPr>
                            <w:t>0</w:t>
                          </w:r>
                          <w:r>
                            <w:rPr>
                              <w:rStyle w:val="afa"/>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" stroked="f">
              <v:fill opacity="0"/>
              <v:textbox style="mso-fit-shape-to-text:t" inset="0,0,0,0">
                <w:txbxContent>
                  <w:p w:rsidR="00513C81" w:rsidRDefault="00D94F32">
                    <w:pPr>
                      <w:pStyle w:val="af1"/>
                      <w:rPr>
                        <w:rStyle w:val="afa"/>
                      </w:rPr>
                    </w:pPr>
                    <w:r>
                      <w:rPr>
                        <w:rStyle w:val="afa"/>
                      </w:rPr>
                      <w:fldChar w:fldCharType="begin"/>
                    </w:r>
                    <w:r>
                      <w:rPr>
                        <w:rStyle w:val="afa"/>
                      </w:rPr>
                      <w:instrText xml:space="preserve"> PAGE </w:instrText>
                    </w:r>
                    <w:r>
                      <w:rPr>
                        <w:rStyle w:val="afa"/>
                      </w:rPr>
                      <w:fldChar w:fldCharType="separate"/>
                    </w:r>
                    <w:r>
                      <w:rPr>
                        <w:rStyle w:val="afa"/>
                      </w:rPr>
                      <w:t>0</w:t>
                    </w:r>
                    <w:r>
                      <w:rPr>
                        <w:rStyle w:val="afa"/>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C81" w:rsidRDefault="00513C81">
    <w:pPr>
      <w:pStyle w:val="af1"/>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A5A07"/>
    <w:multiLevelType w:val="multilevel"/>
    <w:tmpl w:val="FBAEFBE6"/>
    <w:lvl w:ilvl="0">
      <w:start w:val="1"/>
      <w:numFmt w:val="bullet"/>
      <w:suff w:val="space"/>
      <w:lvlText w:val="–"/>
      <w:lvlJc w:val="left"/>
      <w:pPr>
        <w:ind w:left="1418" w:hanging="360"/>
      </w:pPr>
      <w:rPr>
        <w:rFonts w:ascii="Arial" w:eastAsia="Arial" w:hAnsi="Arial" w:cs="Arial" w:hint="default"/>
      </w:rPr>
    </w:lvl>
    <w:lvl w:ilvl="1">
      <w:start w:val="1"/>
      <w:numFmt w:val="bullet"/>
      <w:suff w:val="space"/>
      <w:lvlText w:val="o"/>
      <w:lvlJc w:val="left"/>
      <w:pPr>
        <w:ind w:left="2138" w:hanging="360"/>
      </w:pPr>
      <w:rPr>
        <w:rFonts w:ascii="Courier New" w:eastAsia="Courier New" w:hAnsi="Courier New" w:cs="Courier New" w:hint="default"/>
      </w:rPr>
    </w:lvl>
    <w:lvl w:ilvl="2">
      <w:start w:val="1"/>
      <w:numFmt w:val="bullet"/>
      <w:suff w:val="space"/>
      <w:lvlText w:val="§"/>
      <w:lvlJc w:val="left"/>
      <w:pPr>
        <w:ind w:left="2858" w:hanging="360"/>
      </w:pPr>
      <w:rPr>
        <w:rFonts w:ascii="Wingdings" w:eastAsia="Wingdings" w:hAnsi="Wingdings" w:cs="Wingdings" w:hint="default"/>
      </w:rPr>
    </w:lvl>
    <w:lvl w:ilvl="3">
      <w:start w:val="1"/>
      <w:numFmt w:val="bullet"/>
      <w:suff w:val="space"/>
      <w:lvlText w:val="·"/>
      <w:lvlJc w:val="left"/>
      <w:pPr>
        <w:ind w:left="3578" w:hanging="360"/>
      </w:pPr>
      <w:rPr>
        <w:rFonts w:ascii="Symbol" w:eastAsia="Symbol" w:hAnsi="Symbol" w:cs="Symbol" w:hint="default"/>
      </w:rPr>
    </w:lvl>
    <w:lvl w:ilvl="4">
      <w:start w:val="1"/>
      <w:numFmt w:val="bullet"/>
      <w:suff w:val="space"/>
      <w:lvlText w:val="o"/>
      <w:lvlJc w:val="left"/>
      <w:pPr>
        <w:ind w:left="4298" w:hanging="360"/>
      </w:pPr>
      <w:rPr>
        <w:rFonts w:ascii="Courier New" w:eastAsia="Courier New" w:hAnsi="Courier New" w:cs="Courier New" w:hint="default"/>
      </w:rPr>
    </w:lvl>
    <w:lvl w:ilvl="5">
      <w:start w:val="1"/>
      <w:numFmt w:val="bullet"/>
      <w:suff w:val="space"/>
      <w:lvlText w:val="§"/>
      <w:lvlJc w:val="left"/>
      <w:pPr>
        <w:ind w:left="5018" w:hanging="360"/>
      </w:pPr>
      <w:rPr>
        <w:rFonts w:ascii="Wingdings" w:eastAsia="Wingdings" w:hAnsi="Wingdings" w:cs="Wingdings" w:hint="default"/>
      </w:rPr>
    </w:lvl>
    <w:lvl w:ilvl="6">
      <w:start w:val="1"/>
      <w:numFmt w:val="bullet"/>
      <w:suff w:val="space"/>
      <w:lvlText w:val="·"/>
      <w:lvlJc w:val="left"/>
      <w:pPr>
        <w:ind w:left="5738" w:hanging="360"/>
      </w:pPr>
      <w:rPr>
        <w:rFonts w:ascii="Symbol" w:eastAsia="Symbol" w:hAnsi="Symbol" w:cs="Symbol" w:hint="default"/>
      </w:rPr>
    </w:lvl>
    <w:lvl w:ilvl="7">
      <w:start w:val="1"/>
      <w:numFmt w:val="bullet"/>
      <w:suff w:val="space"/>
      <w:lvlText w:val="o"/>
      <w:lvlJc w:val="left"/>
      <w:pPr>
        <w:ind w:left="6458" w:hanging="360"/>
      </w:pPr>
      <w:rPr>
        <w:rFonts w:ascii="Courier New" w:eastAsia="Courier New" w:hAnsi="Courier New" w:cs="Courier New" w:hint="default"/>
      </w:rPr>
    </w:lvl>
    <w:lvl w:ilvl="8">
      <w:start w:val="1"/>
      <w:numFmt w:val="bullet"/>
      <w:suff w:val="space"/>
      <w:lvlText w:val="§"/>
      <w:lvlJc w:val="left"/>
      <w:pPr>
        <w:ind w:left="7178"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81"/>
    <w:rsid w:val="00513C81"/>
    <w:rsid w:val="00D94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2EE9"/>
  <w15:docId w15:val="{722D6CFA-EE01-40CB-8DDE-1070BDC2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qFormat/>
    <w:pPr>
      <w:keepNext/>
      <w:jc w:val="both"/>
      <w:outlineLvl w:val="1"/>
    </w:pPr>
    <w:rPr>
      <w:b/>
      <w:bCs/>
      <w:sz w:val="26"/>
    </w:rPr>
  </w:style>
  <w:style w:type="paragraph" w:styleId="3">
    <w:name w:val="heading 3"/>
    <w:basedOn w:val="a"/>
    <w:next w:val="a"/>
    <w:link w:val="30"/>
    <w:qFormat/>
    <w:pPr>
      <w:keepNext/>
      <w:jc w:val="both"/>
      <w:outlineLvl w:val="2"/>
    </w:pPr>
    <w:rPr>
      <w:b/>
      <w:bCs/>
      <w:sz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4"/>
    <w:link w:val="a5"/>
    <w:qFormat/>
    <w:pPr>
      <w:keepNext/>
      <w:spacing w:before="240" w:after="120"/>
    </w:pPr>
    <w:rPr>
      <w:rFonts w:ascii="PT Astra Serif" w:eastAsia="Tahoma" w:hAnsi="PT Astra Serif" w:cs="Noto Sans Devanagari"/>
      <w:sz w:val="28"/>
      <w:szCs w:val="28"/>
    </w:rPr>
  </w:style>
  <w:style w:type="character" w:customStyle="1" w:styleId="a5">
    <w:name w:val="Заголовок Знак"/>
    <w:basedOn w:val="a0"/>
    <w:link w:val="a3"/>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character" w:customStyle="1" w:styleId="af0">
    <w:name w:val="Верхний колонтитул Знак"/>
    <w:basedOn w:val="a0"/>
    <w:link w:val="af1"/>
    <w:uiPriority w:val="99"/>
  </w:style>
  <w:style w:type="character" w:customStyle="1" w:styleId="12">
    <w:name w:val="Нижний колонтитул Знак1"/>
    <w:basedOn w:val="a0"/>
    <w:link w:val="af2"/>
    <w:uiPriority w:val="99"/>
  </w:style>
  <w:style w:type="character" w:customStyle="1" w:styleId="13">
    <w:name w:val="Текст сноски Знак1"/>
    <w:basedOn w:val="a0"/>
    <w:link w:val="af3"/>
    <w:uiPriority w:val="99"/>
    <w:semiHidden/>
    <w:rPr>
      <w:sz w:val="20"/>
      <w:szCs w:val="20"/>
    </w:rPr>
  </w:style>
  <w:style w:type="paragraph" w:styleId="af4">
    <w:name w:val="endnote text"/>
    <w:basedOn w:val="a"/>
    <w:link w:val="af5"/>
    <w:uiPriority w:val="99"/>
    <w:semiHidden/>
    <w:unhideWhenUsed/>
    <w:rPr>
      <w:sz w:val="20"/>
      <w:szCs w:val="20"/>
    </w:rPr>
  </w:style>
  <w:style w:type="character" w:customStyle="1" w:styleId="af5">
    <w:name w:val="Текст концевой сноски Знак"/>
    <w:basedOn w:val="a0"/>
    <w:link w:val="af4"/>
    <w:uiPriority w:val="99"/>
    <w:semiHidden/>
    <w:rPr>
      <w:sz w:val="20"/>
      <w:szCs w:val="20"/>
    </w:rPr>
  </w:style>
  <w:style w:type="character" w:styleId="af6">
    <w:name w:val="endnote reference"/>
    <w:basedOn w:val="a0"/>
    <w:uiPriority w:val="99"/>
    <w:semiHidden/>
    <w:unhideWhenUsed/>
    <w:rPr>
      <w:vertAlign w:val="superscript"/>
    </w:rPr>
  </w:style>
  <w:style w:type="character" w:styleId="af7">
    <w:name w:val="FollowedHyperlink"/>
    <w:basedOn w:val="a0"/>
    <w:uiPriority w:val="99"/>
    <w:semiHidden/>
    <w:unhideWhenUsed/>
    <w:rPr>
      <w:color w:val="800080" w:themeColor="followedHyperlink"/>
      <w:u w:val="single"/>
    </w:rPr>
  </w:style>
  <w:style w:type="paragraph" w:styleId="14">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character" w:styleId="afa">
    <w:name w:val="page number"/>
    <w:basedOn w:val="a0"/>
    <w:qFormat/>
  </w:style>
  <w:style w:type="character" w:customStyle="1" w:styleId="afb">
    <w:name w:val="Текст выноски Знак"/>
    <w:link w:val="afc"/>
    <w:qFormat/>
    <w:rPr>
      <w:rFonts w:ascii="Tahoma" w:hAnsi="Tahoma" w:cs="Tahoma"/>
      <w:sz w:val="16"/>
      <w:szCs w:val="16"/>
    </w:rPr>
  </w:style>
  <w:style w:type="character" w:customStyle="1" w:styleId="afd">
    <w:name w:val="Основной Знак"/>
    <w:link w:val="afe"/>
    <w:qFormat/>
    <w:rPr>
      <w:rFonts w:eastAsia="Calibri"/>
      <w:sz w:val="28"/>
      <w:szCs w:val="28"/>
      <w:lang w:eastAsia="en-US"/>
    </w:rPr>
  </w:style>
  <w:style w:type="character" w:customStyle="1" w:styleId="aff">
    <w:name w:val="Обычный (веб) Знак"/>
    <w:link w:val="aff0"/>
    <w:uiPriority w:val="99"/>
    <w:qFormat/>
    <w:rPr>
      <w:sz w:val="24"/>
      <w:szCs w:val="24"/>
    </w:rPr>
  </w:style>
  <w:style w:type="character" w:customStyle="1" w:styleId="aff1">
    <w:name w:val="Основной текст Знак"/>
    <w:link w:val="a4"/>
    <w:qFormat/>
    <w:rPr>
      <w:sz w:val="32"/>
      <w:szCs w:val="24"/>
    </w:rPr>
  </w:style>
  <w:style w:type="character" w:customStyle="1" w:styleId="aff2">
    <w:name w:val="Красная строка Знак"/>
    <w:link w:val="aff3"/>
    <w:qFormat/>
    <w:rPr>
      <w:sz w:val="24"/>
      <w:szCs w:val="24"/>
    </w:rPr>
  </w:style>
  <w:style w:type="character" w:customStyle="1" w:styleId="ConsPlusNormal">
    <w:name w:val="ConsPlusNormal Знак"/>
    <w:link w:val="ConsPlusNormal0"/>
    <w:uiPriority w:val="99"/>
    <w:qFormat/>
    <w:rPr>
      <w:rFonts w:ascii="Arial" w:hAnsi="Arial" w:cs="Arial"/>
      <w:lang w:val="ru-RU" w:eastAsia="ru-RU" w:bidi="ar-SA"/>
    </w:rPr>
  </w:style>
  <w:style w:type="character" w:customStyle="1" w:styleId="aff4">
    <w:name w:val="Текст Знак"/>
    <w:link w:val="aff5"/>
    <w:qFormat/>
    <w:rPr>
      <w:rFonts w:ascii="Courier New" w:hAnsi="Courier New"/>
    </w:rPr>
  </w:style>
  <w:style w:type="character" w:customStyle="1" w:styleId="aff6">
    <w:name w:val="Основной текст с отступом Знак"/>
    <w:link w:val="aff7"/>
    <w:qFormat/>
    <w:rPr>
      <w:sz w:val="26"/>
      <w:szCs w:val="24"/>
    </w:rPr>
  </w:style>
  <w:style w:type="character" w:customStyle="1" w:styleId="aff8">
    <w:name w:val="Текст сноски Знак"/>
    <w:basedOn w:val="a0"/>
    <w:uiPriority w:val="99"/>
    <w:qFormat/>
  </w:style>
  <w:style w:type="character" w:customStyle="1" w:styleId="aff9">
    <w:name w:val="Символ сноски"/>
    <w:uiPriority w:val="99"/>
    <w:qFormat/>
    <w:rPr>
      <w:vertAlign w:val="superscript"/>
    </w:rPr>
  </w:style>
  <w:style w:type="character" w:styleId="affa">
    <w:name w:val="footnote reference"/>
    <w:rPr>
      <w:vertAlign w:val="superscript"/>
    </w:rPr>
  </w:style>
  <w:style w:type="character" w:styleId="affb">
    <w:name w:val="Strong"/>
    <w:qFormat/>
    <w:rPr>
      <w:b/>
      <w:bCs/>
    </w:rPr>
  </w:style>
  <w:style w:type="character" w:customStyle="1" w:styleId="affc">
    <w:name w:val="Нижний колонтитул Знак"/>
    <w:uiPriority w:val="99"/>
    <w:qFormat/>
    <w:rPr>
      <w:sz w:val="24"/>
      <w:szCs w:val="24"/>
    </w:rPr>
  </w:style>
  <w:style w:type="character" w:customStyle="1" w:styleId="25">
    <w:name w:val="Основной текст 2 Знак"/>
    <w:link w:val="26"/>
    <w:qFormat/>
    <w:rPr>
      <w:b/>
      <w:bCs/>
      <w:sz w:val="26"/>
      <w:szCs w:val="24"/>
    </w:rPr>
  </w:style>
  <w:style w:type="character" w:styleId="affd">
    <w:name w:val="Hyperlink"/>
    <w:rPr>
      <w:color w:val="000080"/>
      <w:u w:val="single"/>
    </w:rPr>
  </w:style>
  <w:style w:type="paragraph" w:styleId="a4">
    <w:name w:val="Body Text"/>
    <w:basedOn w:val="a"/>
    <w:link w:val="aff1"/>
    <w:pPr>
      <w:jc w:val="both"/>
    </w:pPr>
    <w:rPr>
      <w:sz w:val="32"/>
    </w:rPr>
  </w:style>
  <w:style w:type="paragraph" w:styleId="affe">
    <w:name w:val="List"/>
    <w:basedOn w:val="a4"/>
    <w:rPr>
      <w:rFonts w:ascii="PT Astra Serif" w:hAnsi="PT Astra Serif" w:cs="Noto Sans Devanagari"/>
    </w:rPr>
  </w:style>
  <w:style w:type="paragraph" w:styleId="afff">
    <w:name w:val="caption"/>
    <w:basedOn w:val="a"/>
    <w:qFormat/>
    <w:pPr>
      <w:suppressLineNumbers/>
      <w:spacing w:before="120" w:after="120"/>
    </w:pPr>
    <w:rPr>
      <w:rFonts w:ascii="PT Astra Serif" w:hAnsi="PT Astra Serif" w:cs="Noto Sans Devanagari"/>
      <w:i/>
      <w:iCs/>
    </w:rPr>
  </w:style>
  <w:style w:type="paragraph" w:styleId="afff0">
    <w:name w:val="index heading"/>
    <w:basedOn w:val="a"/>
    <w:qFormat/>
    <w:pPr>
      <w:suppressLineNumbers/>
    </w:pPr>
    <w:rPr>
      <w:rFonts w:ascii="PT Astra Serif" w:hAnsi="PT Astra Serif" w:cs="Noto Sans Devanagari"/>
    </w:rPr>
  </w:style>
  <w:style w:type="paragraph" w:styleId="26">
    <w:name w:val="Body Text 2"/>
    <w:basedOn w:val="a"/>
    <w:link w:val="25"/>
    <w:qFormat/>
    <w:pPr>
      <w:jc w:val="both"/>
    </w:pPr>
    <w:rPr>
      <w:b/>
      <w:bCs/>
      <w:sz w:val="26"/>
    </w:rPr>
  </w:style>
  <w:style w:type="paragraph" w:styleId="33">
    <w:name w:val="Body Text 3"/>
    <w:basedOn w:val="a"/>
    <w:qFormat/>
    <w:pPr>
      <w:jc w:val="both"/>
    </w:pPr>
    <w:rPr>
      <w:sz w:val="26"/>
    </w:rPr>
  </w:style>
  <w:style w:type="paragraph" w:customStyle="1" w:styleId="afff1">
    <w:name w:val="Колонтитул"/>
    <w:basedOn w:val="a"/>
    <w:qFormat/>
  </w:style>
  <w:style w:type="paragraph" w:styleId="af1">
    <w:name w:val="header"/>
    <w:basedOn w:val="a"/>
    <w:link w:val="af0"/>
    <w:pPr>
      <w:tabs>
        <w:tab w:val="center" w:pos="4677"/>
        <w:tab w:val="right" w:pos="9355"/>
      </w:tabs>
    </w:pPr>
  </w:style>
  <w:style w:type="paragraph" w:styleId="aff7">
    <w:name w:val="Body Text Indent"/>
    <w:basedOn w:val="a"/>
    <w:link w:val="aff6"/>
    <w:pPr>
      <w:ind w:firstLine="540"/>
      <w:jc w:val="both"/>
    </w:pPr>
    <w:rPr>
      <w:sz w:val="26"/>
    </w:rPr>
  </w:style>
  <w:style w:type="paragraph" w:styleId="af2">
    <w:name w:val="footer"/>
    <w:basedOn w:val="a"/>
    <w:link w:val="12"/>
    <w:uiPriority w:val="99"/>
    <w:pPr>
      <w:tabs>
        <w:tab w:val="center" w:pos="4677"/>
        <w:tab w:val="right" w:pos="9355"/>
      </w:tabs>
    </w:pPr>
  </w:style>
  <w:style w:type="paragraph" w:styleId="27">
    <w:name w:val="Body Text Indent 2"/>
    <w:basedOn w:val="a"/>
    <w:qFormat/>
    <w:pPr>
      <w:ind w:firstLine="708"/>
      <w:jc w:val="both"/>
    </w:pPr>
    <w:rPr>
      <w:sz w:val="26"/>
    </w:rPr>
  </w:style>
  <w:style w:type="paragraph" w:styleId="afc">
    <w:name w:val="Balloon Text"/>
    <w:basedOn w:val="a"/>
    <w:link w:val="afb"/>
    <w:qFormat/>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Autospacing="1" w:afterAutospacing="1"/>
    </w:pPr>
    <w:rPr>
      <w:rFonts w:ascii="Tahoma" w:hAnsi="Tahoma"/>
      <w:sz w:val="20"/>
      <w:szCs w:val="20"/>
      <w:lang w:val="en-US" w:eastAsia="en-US"/>
    </w:rPr>
  </w:style>
  <w:style w:type="paragraph" w:customStyle="1" w:styleId="afff2">
    <w:name w:val="Знак Знак Знак"/>
    <w:basedOn w:val="a"/>
    <w:qFormat/>
    <w:pPr>
      <w:spacing w:after="160" w:line="240" w:lineRule="exact"/>
    </w:pPr>
    <w:rPr>
      <w:rFonts w:ascii="Verdana" w:hAnsi="Verdana"/>
      <w:sz w:val="20"/>
      <w:szCs w:val="20"/>
      <w:lang w:val="en-US" w:eastAsia="en-US"/>
    </w:rPr>
  </w:style>
  <w:style w:type="paragraph" w:customStyle="1" w:styleId="afe">
    <w:name w:val="Основной"/>
    <w:basedOn w:val="a"/>
    <w:link w:val="afd"/>
    <w:qFormat/>
    <w:pPr>
      <w:spacing w:after="120"/>
      <w:ind w:firstLine="708"/>
      <w:jc w:val="both"/>
    </w:pPr>
    <w:rPr>
      <w:rFonts w:eastAsia="Calibri"/>
      <w:sz w:val="28"/>
      <w:szCs w:val="28"/>
      <w:lang w:eastAsia="en-US"/>
    </w:rPr>
  </w:style>
  <w:style w:type="paragraph" w:customStyle="1" w:styleId="15">
    <w:name w:val="Стиль1"/>
    <w:basedOn w:val="a"/>
    <w:qFormat/>
    <w:pPr>
      <w:jc w:val="both"/>
    </w:pPr>
    <w:rPr>
      <w:sz w:val="26"/>
    </w:rPr>
  </w:style>
  <w:style w:type="paragraph" w:styleId="aff0">
    <w:name w:val="Normal (Web)"/>
    <w:basedOn w:val="a"/>
    <w:link w:val="aff"/>
    <w:uiPriority w:val="99"/>
    <w:qFormat/>
    <w:pPr>
      <w:spacing w:beforeAutospacing="1" w:afterAutospacing="1"/>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sz w:val="20"/>
      <w:szCs w:val="20"/>
      <w:lang w:val="en-US" w:eastAsia="en-US"/>
    </w:rPr>
  </w:style>
  <w:style w:type="paragraph" w:styleId="afff3">
    <w:name w:val="No Spacing"/>
    <w:qFormat/>
    <w:rPr>
      <w:rFonts w:ascii="Calibri" w:eastAsia="Calibri" w:hAnsi="Calibri"/>
      <w:sz w:val="22"/>
      <w:szCs w:val="22"/>
      <w:lang w:eastAsia="en-US"/>
    </w:rPr>
  </w:style>
  <w:style w:type="paragraph" w:customStyle="1" w:styleId="Default">
    <w:name w:val="Default"/>
    <w:qFormat/>
    <w:rPr>
      <w:color w:val="000000"/>
      <w:sz w:val="24"/>
      <w:szCs w:val="24"/>
    </w:rPr>
  </w:style>
  <w:style w:type="paragraph" w:customStyle="1" w:styleId="ConsPlusNormal0">
    <w:name w:val="ConsPlusNormal"/>
    <w:link w:val="ConsPlusNormal"/>
    <w:uiPriority w:val="99"/>
    <w:qFormat/>
    <w:pPr>
      <w:widowControl w:val="0"/>
      <w:ind w:firstLine="720"/>
    </w:pPr>
    <w:rPr>
      <w:rFonts w:ascii="Arial" w:hAnsi="Arial" w:cs="Arial"/>
    </w:rPr>
  </w:style>
  <w:style w:type="paragraph" w:styleId="aff3">
    <w:name w:val="Body Text First Indent"/>
    <w:basedOn w:val="a4"/>
    <w:link w:val="aff2"/>
    <w:pPr>
      <w:spacing w:after="120"/>
      <w:ind w:firstLine="210"/>
      <w:jc w:val="left"/>
    </w:pPr>
    <w:rPr>
      <w:sz w:val="24"/>
    </w:rPr>
  </w:style>
  <w:style w:type="paragraph" w:customStyle="1" w:styleId="16">
    <w:name w:val="Обычный1"/>
    <w:qFormat/>
    <w:rPr>
      <w:sz w:val="26"/>
    </w:rPr>
  </w:style>
  <w:style w:type="paragraph" w:styleId="aff5">
    <w:name w:val="Plain Text"/>
    <w:basedOn w:val="a"/>
    <w:link w:val="aff4"/>
    <w:qFormat/>
    <w:rPr>
      <w:rFonts w:ascii="Courier New" w:hAnsi="Courier New"/>
      <w:sz w:val="20"/>
      <w:szCs w:val="20"/>
    </w:rPr>
  </w:style>
  <w:style w:type="paragraph" w:styleId="afff4">
    <w:name w:val="List Paragraph"/>
    <w:basedOn w:val="a"/>
    <w:uiPriority w:val="34"/>
    <w:qFormat/>
    <w:pPr>
      <w:spacing w:line="276" w:lineRule="auto"/>
      <w:ind w:left="720"/>
      <w:contextualSpacing/>
    </w:pPr>
    <w:rPr>
      <w:rFonts w:eastAsia="Calibri"/>
      <w:szCs w:val="22"/>
      <w:lang w:eastAsia="en-US"/>
    </w:rPr>
  </w:style>
  <w:style w:type="paragraph" w:styleId="af3">
    <w:name w:val="footnote text"/>
    <w:basedOn w:val="a"/>
    <w:link w:val="13"/>
    <w:rPr>
      <w:sz w:val="20"/>
      <w:szCs w:val="20"/>
    </w:rPr>
  </w:style>
  <w:style w:type="paragraph" w:customStyle="1" w:styleId="msonormalmailrucssattributepostfix">
    <w:name w:val="msonormal_mailru_css_attribute_postfix"/>
    <w:basedOn w:val="a"/>
    <w:qFormat/>
    <w:pPr>
      <w:spacing w:beforeAutospacing="1" w:afterAutospacing="1"/>
    </w:pPr>
  </w:style>
  <w:style w:type="paragraph" w:customStyle="1" w:styleId="afff5">
    <w:name w:val="Содержимое врезки"/>
    <w:basedOn w:val="a"/>
    <w:qFormat/>
  </w:style>
  <w:style w:type="table" w:styleId="a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mail.ru/company/mv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ver.bezformata.com/word/vrp/16811/" TargetMode="External"/><Relationship Id="rId4" Type="http://schemas.openxmlformats.org/officeDocument/2006/relationships/settings" Target="settings.xml"/><Relationship Id="rId9" Type="http://schemas.openxmlformats.org/officeDocument/2006/relationships/hyperlink" Target="https://news.mail.ru/company/fsin/"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3AF65-0427-42AE-8783-D7822F22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13412</Words>
  <Characters>76455</Characters>
  <Application>Microsoft Office Word</Application>
  <DocSecurity>0</DocSecurity>
  <Lines>637</Lines>
  <Paragraphs>179</Paragraphs>
  <ScaleCrop>false</ScaleCrop>
  <Company>Hewlett-Packard Company</Company>
  <LinksUpToDate>false</LinksUpToDate>
  <CharactersWithSpaces>89688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ежемесячной аналитической записки субъекта Российской Федерации</dc:title>
  <dc:subject/>
  <dc:creator>Тябин К.В.</dc:creator>
  <dc:description/>
  <cp:lastModifiedBy>Александр Сафронов</cp:lastModifiedBy>
  <cp:revision>8</cp:revision>
  <dcterms:created xsi:type="dcterms:W3CDTF">2025-08-19T07:34:00Z</dcterms:created>
  <dcterms:modified xsi:type="dcterms:W3CDTF">2025-10-31T11:44:00Z</dcterms:modified>
  <dc:language>ru-RU</dc:language>
</cp:coreProperties>
</file>